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3ebedaad7391180095c16dd273414a8042a6058"/>
    <w:p>
      <w:pPr>
        <w:pStyle w:val="Heading1"/>
      </w:pPr>
      <w:r>
        <w:t xml:space="preserve">NRG Energy (NYSE: NRG) — 2Q26 Earnings Preview</w:t>
      </w:r>
    </w:p>
    <w:p>
      <w:pPr>
        <w:pStyle w:val="BlockText"/>
      </w:pPr>
      <w:r>
        <w:rPr>
          <w:b/>
          <w:bCs/>
        </w:rPr>
        <w:t xml:space="preserve">Date clarification:</w:t>
      </w:r>
      <w:r>
        <w:t xml:space="preserve"> </w:t>
      </w:r>
      <w:r>
        <w:t xml:space="preserve">NRG’s 2026Q2 earnings event is listed for</w:t>
      </w:r>
      <w:r>
        <w:t xml:space="preserve"> </w:t>
      </w:r>
      <w:r>
        <w:rPr>
          <w:b/>
          <w:bCs/>
        </w:rPr>
        <w:t xml:space="preserve">Tuesday, August 4, 2026</w:t>
      </w:r>
      <w:r>
        <w:t xml:space="preserve">—which is</w:t>
      </w:r>
      <w:r>
        <w:t xml:space="preserve"> </w:t>
      </w:r>
      <w:r>
        <w:rPr>
          <w:b/>
          <w:bCs/>
        </w:rPr>
        <w:t xml:space="preserve">today</w:t>
      </w:r>
      <w:r>
        <w:t xml:space="preserve">, not tomorrow. This preview is therefore framed for investors ahead of the reported results and call.</w:t>
      </w:r>
    </w:p>
    <w:bookmarkStart w:id="9" w:name="X2ad296af25822cc8f2de2f03d419ed8cbb405e8"/>
    <w:p>
      <w:pPr>
        <w:pStyle w:val="Heading2"/>
      </w:pPr>
      <w:r>
        <w:t xml:space="preserve">Investment view: execution, not just the headline, will drive the reaction</w:t>
      </w:r>
    </w:p>
    <w:p>
      <w:pPr>
        <w:pStyle w:val="FirstParagraph"/>
      </w:pPr>
      <w:r>
        <w:t xml:space="preserve">NRG enters 2Q with its most consequential operating setup in years: a larger generation platform following the LS Power/CPower acquisition, summer exposure in ERCOT, and a substantially higher 2026 earnings and free-cash-flow framework. The core question is whether the company can demonstrate that the acquired assets, Texas growth investments, and retail/smart-home franchises are translating into results quickly enough to support full-year guidance—and whether management’s longer-dated data-center and contracted-generation ambitions are becoming more concrete.</w:t>
      </w:r>
    </w:p>
    <w:p>
      <w:pPr>
        <w:pStyle w:val="BodyText"/>
      </w:pPr>
      <w:r>
        <w:t xml:space="preserve">The earnings print may be noisy at the GAAP level because NRG marks certain economic hedges to market while the related customer contracts are not similarly accounted for. Investors should concentrate on</w:t>
      </w:r>
      <w:r>
        <w:t xml:space="preserve"> </w:t>
      </w:r>
      <w:r>
        <w:rPr>
          <w:b/>
          <w:bCs/>
        </w:rPr>
        <w:t xml:space="preserve">Adjusted EBITDA, Adjusted EPS, FCF before Growth Investments (FCFbG), operational availability, and guidance</w:t>
      </w:r>
      <w:r>
        <w:t xml:space="preserve">.</w:t>
      </w:r>
    </w:p>
    <w:bookmarkEnd w:id="9"/>
    <w:bookmarkStart w:id="10" w:name="Xcf796e7ad87e4ac7f3bba0fdaaec0f56fb05005"/>
    <w:p>
      <w:pPr>
        <w:pStyle w:val="Heading2"/>
      </w:pPr>
      <w:r>
        <w:t xml:space="preserve">The setup: a back-half-weighted year after a soft first quarter</w:t>
      </w:r>
    </w:p>
    <w:p>
      <w:pPr>
        <w:pStyle w:val="FirstParagraph"/>
      </w:pPr>
      <w:r>
        <w:t xml:space="preserve">NRG reaffirmed the following 2026 ranges after 1Q:</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2026 guidance</w:t>
            </w:r>
          </w:p>
        </w:tc>
        <w:tc>
          <w:tcPr/>
          <w:p>
            <w:pPr>
              <w:pStyle w:val="Compact"/>
              <w:jc w:val="right"/>
            </w:pPr>
            <w:r>
              <w:t xml:space="preserve">1Q26 actual</w:t>
            </w:r>
          </w:p>
        </w:tc>
        <w:tc>
          <w:tcPr/>
          <w:p>
            <w:pPr>
              <w:pStyle w:val="Compact"/>
              <w:jc w:val="right"/>
            </w:pPr>
            <w:r>
              <w:t xml:space="preserve">Implied requirement for 2Q–4Q</w:t>
            </w:r>
          </w:p>
        </w:tc>
      </w:tr>
      <w:tr>
        <w:tc>
          <w:tcPr/>
          <w:p>
            <w:pPr>
              <w:pStyle w:val="Compact"/>
            </w:pPr>
            <w:r>
              <w:t xml:space="preserve">Adjusted EBITDA</w:t>
            </w:r>
          </w:p>
        </w:tc>
        <w:tc>
          <w:tcPr/>
          <w:p>
            <w:pPr>
              <w:pStyle w:val="Compact"/>
              <w:jc w:val="right"/>
            </w:pPr>
            <m:oMath>
              <m:r>
                <m:t>5.325</m:t>
              </m:r>
              <m:r>
                <m:t>B</m:t>
              </m:r>
              <m:r>
                <m:rPr>
                  <m:sty m:val="p"/>
                </m:rPr>
                <m:t>–</m:t>
              </m:r>
            </m:oMath>
            <w:r>
              <w:t xml:space="preserve">5.825B</w:t>
            </w:r>
          </w:p>
        </w:tc>
        <w:tc>
          <w:tcPr/>
          <w:p>
            <w:pPr>
              <w:pStyle w:val="Compact"/>
              <w:jc w:val="right"/>
            </w:pPr>
            <w:r>
              <w:t xml:space="preserve">$1.080B</w:t>
            </w:r>
          </w:p>
        </w:tc>
        <w:tc>
          <w:tcPr/>
          <w:p>
            <w:pPr>
              <w:pStyle w:val="Compact"/>
              <w:jc w:val="right"/>
            </w:pPr>
            <m:oMath>
              <m:r>
                <m:t>4.245</m:t>
              </m:r>
              <m:r>
                <m:t>B</m:t>
              </m:r>
              <m:r>
                <m:rPr>
                  <m:sty m:val="p"/>
                </m:rPr>
                <m:t>–</m:t>
              </m:r>
            </m:oMath>
            <w:r>
              <w:t xml:space="preserve">4.745B</w:t>
            </w:r>
          </w:p>
        </w:tc>
      </w:tr>
      <w:tr>
        <w:tc>
          <w:tcPr/>
          <w:p>
            <w:pPr>
              <w:pStyle w:val="Compact"/>
            </w:pPr>
            <w:r>
              <w:t xml:space="preserve">Adjusted EPS</w:t>
            </w:r>
          </w:p>
        </w:tc>
        <w:tc>
          <w:tcPr/>
          <w:p>
            <w:pPr>
              <w:pStyle w:val="Compact"/>
              <w:jc w:val="right"/>
            </w:pPr>
            <m:oMath>
              <m:r>
                <m:t>7.90</m:t>
              </m:r>
              <m:r>
                <m:rPr>
                  <m:sty m:val="p"/>
                </m:rPr>
                <m:t>–</m:t>
              </m:r>
            </m:oMath>
            <w:r>
              <w:t xml:space="preserve">9.90</w:t>
            </w:r>
          </w:p>
        </w:tc>
        <w:tc>
          <w:tcPr/>
          <w:p>
            <w:pPr>
              <w:pStyle w:val="Compact"/>
              <w:jc w:val="right"/>
            </w:pPr>
            <w:r>
              <w:t xml:space="preserve">$1.49</w:t>
            </w:r>
          </w:p>
        </w:tc>
        <w:tc>
          <w:tcPr/>
          <w:p>
            <w:pPr>
              <w:pStyle w:val="Compact"/>
              <w:jc w:val="right"/>
            </w:pPr>
            <m:oMath>
              <m:r>
                <m:t>6.41</m:t>
              </m:r>
              <m:r>
                <m:rPr>
                  <m:sty m:val="p"/>
                </m:rPr>
                <m:t>–</m:t>
              </m:r>
            </m:oMath>
            <w:r>
              <w:t xml:space="preserve">8.41</w:t>
            </w:r>
          </w:p>
        </w:tc>
      </w:tr>
      <w:tr>
        <w:tc>
          <w:tcPr/>
          <w:p>
            <w:pPr>
              <w:pStyle w:val="Compact"/>
            </w:pPr>
            <w:r>
              <w:t xml:space="preserve">FCF before Growth Investments</w:t>
            </w:r>
          </w:p>
        </w:tc>
        <w:tc>
          <w:tcPr/>
          <w:p>
            <w:pPr>
              <w:pStyle w:val="Compact"/>
              <w:jc w:val="right"/>
            </w:pPr>
            <m:oMath>
              <m:r>
                <m:t>2.800</m:t>
              </m:r>
              <m:r>
                <m:t>B</m:t>
              </m:r>
              <m:r>
                <m:rPr>
                  <m:sty m:val="p"/>
                </m:rPr>
                <m:t>–</m:t>
              </m:r>
            </m:oMath>
            <w:r>
              <w:t xml:space="preserve">3.300B</w:t>
            </w:r>
          </w:p>
        </w:tc>
        <w:tc>
          <w:tcPr/>
          <w:p>
            <w:pPr>
              <w:pStyle w:val="Compact"/>
              <w:jc w:val="right"/>
            </w:pPr>
            <w:r>
              <w:rPr>
                <w:b/>
                <w:bCs/>
              </w:rPr>
              <w:t xml:space="preserve">($66M)</w:t>
            </w:r>
          </w:p>
        </w:tc>
        <w:tc>
          <w:tcPr/>
          <w:p>
            <w:pPr>
              <w:pStyle w:val="Compact"/>
              <w:jc w:val="right"/>
            </w:pPr>
            <m:oMath>
              <m:r>
                <m:t>2.866</m:t>
              </m:r>
              <m:r>
                <m:t>B</m:t>
              </m:r>
              <m:r>
                <m:rPr>
                  <m:sty m:val="p"/>
                </m:rPr>
                <m:t>–</m:t>
              </m:r>
            </m:oMath>
            <w:r>
              <w:t xml:space="preserve">3.366B</w:t>
            </w:r>
          </w:p>
        </w:tc>
      </w:tr>
    </w:tbl>
    <w:p>
      <w:pPr>
        <w:pStyle w:val="BodyText"/>
      </w:pPr>
      <w:r>
        <w:t xml:space="preserve">The 1Q cash-flow deficit was largely a working-capital and collateral timing issue rather than a deterioration in the underlying earnings model. Management explicitly said it expected these items to unwind through the remainder of the year. Still, the 2Q report needs to provide evidence that this unwind has begun.</w:t>
      </w:r>
    </w:p>
    <w:p>
      <w:pPr>
        <w:pStyle w:val="BodyText"/>
      </w:pPr>
      <w:r>
        <w:t xml:space="preserve">The quarterly comparison will be complicated by the scale change from the LS Power acquisition. In 2Q25, NRG generated $909 million of Adjusted EBITDA, $1.73 of Adjusted EPS, and $914 million of FCFbG. Those figures are useful reference points, but year-over-year growth alone is not the right scorecard given the acquired generation and CPower assets, higher interest expense, and higher depreciation.</w:t>
      </w:r>
    </w:p>
    <w:bookmarkEnd w:id="10"/>
    <w:bookmarkStart w:id="14" w:name="what-matters-most-in-the-quarter"/>
    <w:p>
      <w:pPr>
        <w:pStyle w:val="Heading2"/>
      </w:pPr>
      <w:r>
        <w:t xml:space="preserve">What matters most in the quarter</w:t>
      </w:r>
    </w:p>
    <w:bookmarkStart w:id="11" w:name="X5d26ee3783c53c0dd09a35a0d2ee128be9beed4"/>
    <w:p>
      <w:pPr>
        <w:pStyle w:val="Heading3"/>
      </w:pPr>
      <w:r>
        <w:t xml:space="preserve">1. Full-quarter contribution from LS Power and CPower</w:t>
      </w:r>
    </w:p>
    <w:p>
      <w:pPr>
        <w:pStyle w:val="FirstParagraph"/>
      </w:pPr>
      <w:r>
        <w:t xml:space="preserve">NRG closed the LS Power portfolio acquisition on January 30, so 1Q contained only about two months of contribution.</w:t>
      </w:r>
      <w:r>
        <w:t xml:space="preserve"> </w:t>
      </w:r>
      <w:r>
        <w:rPr>
          <w:b/>
          <w:bCs/>
        </w:rPr>
        <w:t xml:space="preserve">2Q is the first quarter that should reflect a full period of ownership.</w:t>
      </w:r>
    </w:p>
    <w:p>
      <w:pPr>
        <w:pStyle w:val="BodyText"/>
      </w:pPr>
      <w:r>
        <w:t xml:space="preserve">Key items to watch:</w:t>
      </w:r>
    </w:p>
    <w:p>
      <w:pPr>
        <w:pStyle w:val="Compact"/>
        <w:numPr>
          <w:ilvl w:val="0"/>
          <w:numId w:val="1001"/>
        </w:numPr>
      </w:pPr>
      <w:r>
        <w:t xml:space="preserve">Whether the acquired generation fleet performed in line with underwriting assumptions.</w:t>
      </w:r>
    </w:p>
    <w:p>
      <w:pPr>
        <w:pStyle w:val="Compact"/>
        <w:numPr>
          <w:ilvl w:val="0"/>
          <w:numId w:val="1001"/>
        </w:numPr>
      </w:pPr>
      <w:r>
        <w:t xml:space="preserve">Realized integration benefits, particularly commercial optimization, hedging, retail-supply matching, and the use of CPower’s demand-response capabilities.</w:t>
      </w:r>
    </w:p>
    <w:p>
      <w:pPr>
        <w:pStyle w:val="Compact"/>
        <w:numPr>
          <w:ilvl w:val="0"/>
          <w:numId w:val="1001"/>
        </w:numPr>
      </w:pPr>
      <w:r>
        <w:t xml:space="preserve">Any revision to expected synergy timing or integration costs.</w:t>
      </w:r>
    </w:p>
    <w:p>
      <w:pPr>
        <w:pStyle w:val="Compact"/>
        <w:numPr>
          <w:ilvl w:val="0"/>
          <w:numId w:val="1001"/>
        </w:numPr>
      </w:pPr>
      <w:r>
        <w:t xml:space="preserve">The impact of the larger asset base on interest expense, depreciation, share count, and per-share cash-flow conversion.</w:t>
      </w:r>
    </w:p>
    <w:p>
      <w:pPr>
        <w:pStyle w:val="FirstParagraph"/>
      </w:pPr>
      <w:r>
        <w:t xml:space="preserve">The acquisition is strategically important because it adds dispatchable gas generation in eastern markets while also increasing NRG’s demand-response capabilities. That combination is intended to reduce the company’s exposure to extreme retail-supply costs during weather events and create more flexibility in PJM and other eastern markets.</w:t>
      </w:r>
    </w:p>
    <w:bookmarkEnd w:id="11"/>
    <w:bookmarkStart w:id="12" w:name="X70fc9bb4c837740dd8bd7ba3b8aad2b7abc71c3"/>
    <w:p>
      <w:pPr>
        <w:pStyle w:val="Heading3"/>
      </w:pPr>
      <w:r>
        <w:t xml:space="preserve">2. Texas summer performance and the T.H. Wharton startup</w:t>
      </w:r>
    </w:p>
    <w:p>
      <w:pPr>
        <w:pStyle w:val="FirstParagraph"/>
      </w:pPr>
      <w:r>
        <w:t xml:space="preserve">Texas is likely the key near-term earnings swing factor. In 1Q, mild weather, lower retail load, low volatility, and incremental operating costs from newly acquired generation depressed Texas Adjusted EBITDA by $83 million year over year.</w:t>
      </w:r>
    </w:p>
    <w:p>
      <w:pPr>
        <w:pStyle w:val="BodyText"/>
      </w:pPr>
      <w:r>
        <w:t xml:space="preserve">For 2Q, investors should focus on:</w:t>
      </w:r>
    </w:p>
    <w:p>
      <w:pPr>
        <w:pStyle w:val="Compact"/>
        <w:numPr>
          <w:ilvl w:val="0"/>
          <w:numId w:val="1002"/>
        </w:numPr>
      </w:pPr>
      <w:r>
        <w:t xml:space="preserve">Retail load, gross margin, customer retention, and bad-debt trends.</w:t>
      </w:r>
    </w:p>
    <w:p>
      <w:pPr>
        <w:pStyle w:val="Compact"/>
        <w:numPr>
          <w:ilvl w:val="0"/>
          <w:numId w:val="1002"/>
        </w:numPr>
      </w:pPr>
      <w:r>
        <w:t xml:space="preserve">ERCOT market conditions and whether higher summer demand created incremental dispatch and optimization opportunities.</w:t>
      </w:r>
    </w:p>
    <w:p>
      <w:pPr>
        <w:pStyle w:val="Compact"/>
        <w:numPr>
          <w:ilvl w:val="0"/>
          <w:numId w:val="1002"/>
        </w:numPr>
      </w:pPr>
      <w:r>
        <w:t xml:space="preserve">Fleet reliability and availability during high-load periods.</w:t>
      </w:r>
    </w:p>
    <w:p>
      <w:pPr>
        <w:pStyle w:val="Compact"/>
        <w:numPr>
          <w:ilvl w:val="0"/>
          <w:numId w:val="1002"/>
        </w:numPr>
      </w:pPr>
      <w:r>
        <w:t xml:space="preserve">Confirmation that the</w:t>
      </w:r>
      <w:r>
        <w:t xml:space="preserve"> </w:t>
      </w:r>
      <w:r>
        <w:rPr>
          <w:b/>
          <w:bCs/>
        </w:rPr>
        <w:t xml:space="preserve">415 MW T.H. Wharton project</w:t>
      </w:r>
      <w:r>
        <w:t xml:space="preserve"> </w:t>
      </w:r>
      <w:r>
        <w:t xml:space="preserve">reached commercial operation as expected by the end of May.</w:t>
      </w:r>
    </w:p>
    <w:p>
      <w:pPr>
        <w:pStyle w:val="Compact"/>
        <w:numPr>
          <w:ilvl w:val="0"/>
          <w:numId w:val="1002"/>
        </w:numPr>
      </w:pPr>
      <w:r>
        <w:t xml:space="preserve">Status, cost, and schedule of the larger Cedar Bayou and Greens Bayou Texas Energy Fund projects, which together with Wharton total roughly 1.5 GW of planned new generation.</w:t>
      </w:r>
    </w:p>
    <w:p>
      <w:pPr>
        <w:pStyle w:val="FirstParagraph"/>
      </w:pPr>
      <w:r>
        <w:t xml:space="preserve">Wharton’s successful startup is more than a one-off project milestone: it is a test of NRG’s claimed advantage in developing gas generation on time and at attractive legacy site costs.</w:t>
      </w:r>
    </w:p>
    <w:bookmarkEnd w:id="12"/>
    <w:bookmarkStart w:id="13" w:name="Xc5df578e17177decf492ff2f5d017132dc76f66"/>
    <w:p>
      <w:pPr>
        <w:pStyle w:val="Heading3"/>
      </w:pPr>
      <w:r>
        <w:t xml:space="preserve">3. Cash conversion, deleveraging, and shareholder returns</w:t>
      </w:r>
    </w:p>
    <w:p>
      <w:pPr>
        <w:pStyle w:val="FirstParagraph"/>
      </w:pPr>
      <w:r>
        <w:t xml:space="preserve">NRG’s 2026 capital-allocation plan calls for approximately:</w:t>
      </w:r>
    </w:p>
    <w:p>
      <w:pPr>
        <w:pStyle w:val="Compact"/>
        <w:numPr>
          <w:ilvl w:val="0"/>
          <w:numId w:val="1003"/>
        </w:numPr>
      </w:pPr>
      <w:r>
        <w:rPr>
          <w:b/>
          <w:bCs/>
        </w:rPr>
        <w:t xml:space="preserve">$1.0 billion of share repurchases</w:t>
      </w:r>
    </w:p>
    <w:p>
      <w:pPr>
        <w:pStyle w:val="Compact"/>
        <w:numPr>
          <w:ilvl w:val="0"/>
          <w:numId w:val="1003"/>
        </w:numPr>
      </w:pPr>
      <w:r>
        <w:rPr>
          <w:b/>
          <w:bCs/>
        </w:rPr>
        <w:t xml:space="preserve">$407 million of common dividends</w:t>
      </w:r>
    </w:p>
    <w:p>
      <w:pPr>
        <w:pStyle w:val="Compact"/>
        <w:numPr>
          <w:ilvl w:val="0"/>
          <w:numId w:val="1003"/>
        </w:numPr>
      </w:pPr>
      <w:r>
        <w:t xml:space="preserve">Approximately</w:t>
      </w:r>
      <w:r>
        <w:t xml:space="preserve"> </w:t>
      </w:r>
      <w:r>
        <w:rPr>
          <w:b/>
          <w:bCs/>
        </w:rPr>
        <w:t xml:space="preserve">$1.0 billion of debt repayment</w:t>
      </w:r>
    </w:p>
    <w:p>
      <w:pPr>
        <w:pStyle w:val="FirstParagraph"/>
      </w:pPr>
      <w:r>
        <w:t xml:space="preserve">By April 30, NRG had already repurchased $817 million of stock and paid $102 million in common dividends. Management also completed $3.5 billion of financing in late April, refinancing secured debt and revolver borrowings; it said the transaction would save more than $10 million annually in interest expense while extending average maturities.</w:t>
      </w:r>
    </w:p>
    <w:p>
      <w:pPr>
        <w:pStyle w:val="BodyText"/>
      </w:pPr>
      <w:r>
        <w:t xml:space="preserve">The earnings call should clarify:</w:t>
      </w:r>
    </w:p>
    <w:p>
      <w:pPr>
        <w:pStyle w:val="Compact"/>
        <w:numPr>
          <w:ilvl w:val="0"/>
          <w:numId w:val="1004"/>
        </w:numPr>
      </w:pPr>
      <w:r>
        <w:t xml:space="preserve">Year-to-date repurchase spending beyond April and the average buyback price.</w:t>
      </w:r>
    </w:p>
    <w:p>
      <w:pPr>
        <w:pStyle w:val="Compact"/>
        <w:numPr>
          <w:ilvl w:val="0"/>
          <w:numId w:val="1004"/>
        </w:numPr>
      </w:pPr>
      <w:r>
        <w:t xml:space="preserve">The balance between further buybacks and debt reduction.</w:t>
      </w:r>
    </w:p>
    <w:p>
      <w:pPr>
        <w:pStyle w:val="Compact"/>
        <w:numPr>
          <w:ilvl w:val="0"/>
          <w:numId w:val="1004"/>
        </w:numPr>
      </w:pPr>
      <w:r>
        <w:t xml:space="preserve">Progress toward the company’s stated</w:t>
      </w:r>
      <w:r>
        <w:t xml:space="preserve"> </w:t>
      </w:r>
      <w:r>
        <w:rPr>
          <w:b/>
          <w:bCs/>
        </w:rPr>
        <w:t xml:space="preserve">3x net-leverage target</w:t>
      </w:r>
      <w:r>
        <w:t xml:space="preserve">.</w:t>
      </w:r>
    </w:p>
    <w:p>
      <w:pPr>
        <w:pStyle w:val="Compact"/>
        <w:numPr>
          <w:ilvl w:val="0"/>
          <w:numId w:val="1004"/>
        </w:numPr>
      </w:pPr>
      <w:r>
        <w:t xml:space="preserve">Liquidity and collateral requirements, especially after 1Q liquidity fell to $3.25 billion following the LS transaction.</w:t>
      </w:r>
    </w:p>
    <w:p>
      <w:pPr>
        <w:pStyle w:val="FirstParagraph"/>
      </w:pPr>
      <w:r>
        <w:t xml:space="preserve">Capital allocation could be a material share-price catalyst. Management was notably opportunistic with repurchases during 1Q, and the stock’s pullback leaves investors likely to ask whether that appetite has continued.</w:t>
      </w:r>
    </w:p>
    <w:bookmarkEnd w:id="13"/>
    <w:bookmarkEnd w:id="14"/>
    <w:bookmarkStart w:id="15" w:name="X70bf2856ddbb0d91b6d20e29ac44a6f83eab2dd"/>
    <w:p>
      <w:pPr>
        <w:pStyle w:val="Heading2"/>
      </w:pPr>
      <w:r>
        <w:t xml:space="preserve">Strategic upside: data centers and contracted generation</w:t>
      </w:r>
    </w:p>
    <w:p>
      <w:pPr>
        <w:pStyle w:val="FirstParagraph"/>
      </w:pPr>
      <w:r>
        <w:t xml:space="preserve">The earnings call could also matter disproportionately for NRG’s long-duration growth narrative.</w:t>
      </w:r>
    </w:p>
    <w:p>
      <w:pPr>
        <w:pStyle w:val="BodyText"/>
      </w:pPr>
      <w:r>
        <w:t xml:space="preserve">Management has emphasized that its base plan does</w:t>
      </w:r>
      <w:r>
        <w:t xml:space="preserve"> </w:t>
      </w:r>
      <w:r>
        <w:rPr>
          <w:b/>
          <w:bCs/>
        </w:rPr>
        <w:t xml:space="preserve">not</w:t>
      </w:r>
      <w:r>
        <w:t xml:space="preserve"> </w:t>
      </w:r>
      <w:r>
        <w:t xml:space="preserve">require incremental contribution from large-load customers, data-center contracts, or future generation development. That framing is important: any credible progress on those opportunities is upside rather than necessary to defend 2026 guidance.</w:t>
      </w:r>
    </w:p>
    <w:p>
      <w:pPr>
        <w:pStyle w:val="BodyText"/>
      </w:pPr>
      <w:r>
        <w:t xml:space="preserve">Areas to monitor:</w:t>
      </w:r>
    </w:p>
    <w:p>
      <w:pPr>
        <w:pStyle w:val="Compact"/>
        <w:numPr>
          <w:ilvl w:val="0"/>
          <w:numId w:val="1005"/>
        </w:numPr>
      </w:pPr>
      <w:r>
        <w:t xml:space="preserve">Progress on the 295 MW of Texas data-center retail agreements previously disclosed, for which initial powering had been expected in the second half of 2026.</w:t>
      </w:r>
    </w:p>
    <w:p>
      <w:pPr>
        <w:pStyle w:val="Compact"/>
        <w:numPr>
          <w:ilvl w:val="0"/>
          <w:numId w:val="1005"/>
        </w:numPr>
      </w:pPr>
      <w:r>
        <w:t xml:space="preserve">Whether NRG has advanced negotiations for additional front-of-the-meter generation or large-load arrangements.</w:t>
      </w:r>
    </w:p>
    <w:p>
      <w:pPr>
        <w:pStyle w:val="Compact"/>
        <w:numPr>
          <w:ilvl w:val="0"/>
          <w:numId w:val="1005"/>
        </w:numPr>
      </w:pPr>
      <w:r>
        <w:t xml:space="preserve">Updates on the proposed five-gigawatt Texas development opportunity and the timing required to support a potential 2029 commercial-operation date.</w:t>
      </w:r>
    </w:p>
    <w:p>
      <w:pPr>
        <w:pStyle w:val="Compact"/>
        <w:numPr>
          <w:ilvl w:val="0"/>
          <w:numId w:val="1005"/>
        </w:numPr>
      </w:pPr>
      <w:r>
        <w:t xml:space="preserve">Evidence that contract structure, interconnection, gas infrastructure, and returns are sufficiently advanced to move from discussions to commitments.</w:t>
      </w:r>
    </w:p>
    <w:p>
      <w:pPr>
        <w:pStyle w:val="FirstParagraph"/>
      </w:pPr>
      <w:r>
        <w:t xml:space="preserve">Management said in May that it needed to “get something done” during 2026 to support a 2029 project timeline. Therefore, investors should listen closely for greater specificity, while remaining cautious about treating preliminary discussions as booked earnings.</w:t>
      </w:r>
    </w:p>
    <w:bookmarkEnd w:id="15"/>
    <w:bookmarkStart w:id="16" w:name="X2c13cb8158397fec786932ec776f692b409a095"/>
    <w:p>
      <w:pPr>
        <w:pStyle w:val="Heading2"/>
      </w:pPr>
      <w:r>
        <w:t xml:space="preserve">PJM: a meaningful long-term validation, but not a 2026 earnings event</w:t>
      </w:r>
    </w:p>
    <w:p>
      <w:pPr>
        <w:pStyle w:val="FirstParagraph"/>
      </w:pPr>
      <w:r>
        <w:t xml:space="preserve">In July, NRG disclosed that</w:t>
      </w:r>
      <w:r>
        <w:t xml:space="preserve"> </w:t>
      </w:r>
      <w:r>
        <w:rPr>
          <w:b/>
          <w:bCs/>
        </w:rPr>
        <w:t xml:space="preserve">6,839 MW</w:t>
      </w:r>
      <w:r>
        <w:t xml:space="preserve"> </w:t>
      </w:r>
      <w:r>
        <w:t xml:space="preserve">of its PJM generation cleared the 2028–2029 capacity auction at an average price of</w:t>
      </w:r>
      <w:r>
        <w:t xml:space="preserve"> </w:t>
      </w:r>
      <m:oMath>
        <m:r>
          <m:t>325</m:t>
        </m:r>
        <m:r>
          <m:rPr>
            <m:sty m:val="p"/>
          </m:rPr>
          <m:t>/</m:t>
        </m:r>
        <m:r>
          <m:t>M</m:t>
        </m:r>
        <m:r>
          <m:t>W</m:t>
        </m:r>
        <m:r>
          <m:rPr>
            <m:sty m:val="p"/>
          </m:rPr>
          <m:t>−</m:t>
        </m:r>
        <m:r>
          <m:t>d</m:t>
        </m:r>
        <m:r>
          <m:t>a</m:t>
        </m:r>
        <m:r>
          <m:t>y</m:t>
        </m:r>
        <m:r>
          <m:rPr>
            <m:sty m:val="p"/>
          </m:rPr>
          <m:t>*</m:t>
        </m:r>
        <m:r>
          <m:rPr>
            <m:sty m:val="p"/>
          </m:rPr>
          <m:t>*</m:t>
        </m:r>
        <m:r>
          <m:rPr>
            <m:sty m:val="p"/>
          </m:rPr>
          <m:t>.</m:t>
        </m:r>
        <m:r>
          <m:t>O</m:t>
        </m:r>
        <m:r>
          <m:t>n</m:t>
        </m:r>
        <m:r>
          <m:t>a</m:t>
        </m:r>
        <m:r>
          <m:t>s</m:t>
        </m:r>
        <m:r>
          <m:t>i</m:t>
        </m:r>
        <m:r>
          <m:t>m</m:t>
        </m:r>
        <m:r>
          <m:t>p</m:t>
        </m:r>
        <m:r>
          <m:t>l</m:t>
        </m:r>
        <m:r>
          <m:t>e</m:t>
        </m:r>
        <m:r>
          <m:t>g</m:t>
        </m:r>
        <m:r>
          <m:t>r</m:t>
        </m:r>
        <m:r>
          <m:t>o</m:t>
        </m:r>
        <m:r>
          <m:t>s</m:t>
        </m:r>
        <m:r>
          <m:t>s</m:t>
        </m:r>
        <m:r>
          <m:rPr>
            <m:sty m:val="p"/>
          </m:rPr>
          <m:t>,</m:t>
        </m:r>
        <m:r>
          <m:t>f</m:t>
        </m:r>
        <m:r>
          <m:t>u</m:t>
        </m:r>
        <m:r>
          <m:t>l</m:t>
        </m:r>
        <m:r>
          <m:t>l</m:t>
        </m:r>
        <m:r>
          <m:t>y</m:t>
        </m:r>
        <m:r>
          <m:t>a</m:t>
        </m:r>
        <m:r>
          <m:t>v</m:t>
        </m:r>
        <m:r>
          <m:t>a</m:t>
        </m:r>
        <m:r>
          <m:t>i</m:t>
        </m:r>
        <m:r>
          <m:t>l</m:t>
        </m:r>
        <m:r>
          <m:t>a</m:t>
        </m:r>
        <m:r>
          <m:t>b</m:t>
        </m:r>
        <m:r>
          <m:t>l</m:t>
        </m:r>
        <m:r>
          <m:t>e</m:t>
        </m:r>
        <m:r>
          <m:t>b</m:t>
        </m:r>
        <m:r>
          <m:t>a</m:t>
        </m:r>
        <m:r>
          <m:t>s</m:t>
        </m:r>
        <m:r>
          <m:t>i</m:t>
        </m:r>
        <m:r>
          <m:t>s</m:t>
        </m:r>
        <m:r>
          <m:rPr>
            <m:sty m:val="p"/>
          </m:rPr>
          <m:t>,</m:t>
        </m:r>
        <m:r>
          <m:t>t</m:t>
        </m:r>
        <m:r>
          <m:t>h</m:t>
        </m:r>
        <m:r>
          <m:t>a</m:t>
        </m:r>
        <m:r>
          <m:t>t</m:t>
        </m:r>
        <m:r>
          <m:t>e</m:t>
        </m:r>
        <m:r>
          <m:t>q</m:t>
        </m:r>
        <m:r>
          <m:t>u</m:t>
        </m:r>
        <m:r>
          <m:t>a</m:t>
        </m:r>
        <m:r>
          <m:t>t</m:t>
        </m:r>
        <m:r>
          <m:t>e</m:t>
        </m:r>
        <m:r>
          <m:t>s</m:t>
        </m:r>
        <m:r>
          <m:t>t</m:t>
        </m:r>
        <m:r>
          <m:t>o</m:t>
        </m:r>
        <m:r>
          <m:t>r</m:t>
        </m:r>
        <m:r>
          <m:t>o</m:t>
        </m:r>
        <m:r>
          <m:t>u</m:t>
        </m:r>
        <m:r>
          <m:t>g</m:t>
        </m:r>
        <m:r>
          <m:t>h</m:t>
        </m:r>
        <m:r>
          <m:t>l</m:t>
        </m:r>
        <m:r>
          <m:t>y</m:t>
        </m:r>
        <m:r>
          <m:rPr>
            <m:sty m:val="p"/>
          </m:rPr>
          <m:t>*</m:t>
        </m:r>
        <m:r>
          <m:rPr>
            <m:sty m:val="p"/>
          </m:rPr>
          <m:t>*</m:t>
        </m:r>
      </m:oMath>
      <w:r>
        <w:rPr>
          <w:b/>
          <w:bCs/>
        </w:rPr>
        <w:t xml:space="preserve">811 million of annual capacity revenue</w:t>
      </w:r>
      <w:r>
        <w:t xml:space="preserve"> </w:t>
      </w:r>
      <w:r>
        <w:t xml:space="preserve">before considering plant-specific clearing details, outages, costs, obligations, hedges, and other adjustments.</w:t>
      </w:r>
    </w:p>
    <w:p>
      <w:pPr>
        <w:pStyle w:val="BodyText"/>
      </w:pPr>
      <w:r>
        <w:t xml:space="preserve">This is strategically positive because it supports the value of NRG’s expanded PJM generation footprint and reinforces the rationale for the LS Power deal. However, it should not be confused with an immediate 2026 earnings contributor: the delivery year is 2028–2029. The more immediate question is whether the auction outcome changes management’s willingness to pursue uprates, conversions, or bilateral contracted-load opportunities in PJM.</w:t>
      </w:r>
    </w:p>
    <w:bookmarkEnd w:id="16"/>
    <w:bookmarkStart w:id="17" w:name="Xd280f592e3ef3fb3abb57289ac733b58b1722bc"/>
    <w:p>
      <w:pPr>
        <w:pStyle w:val="Heading2"/>
      </w:pPr>
      <w:r>
        <w:t xml:space="preserve">Smart Home remains an important stabilizer</w:t>
      </w:r>
    </w:p>
    <w:p>
      <w:pPr>
        <w:pStyle w:val="FirstParagraph"/>
      </w:pPr>
      <w:r>
        <w:t xml:space="preserve">Vivint Smart Home generated $294 million of Adjusted EBITDA in 1Q, up $14 million year over year. NRG ended the quarter with approximately 2.37 million smart-home customers, up 9% year over year, supported by customer growth and higher monthly recurring service margin.</w:t>
      </w:r>
    </w:p>
    <w:p>
      <w:pPr>
        <w:pStyle w:val="BodyText"/>
      </w:pPr>
      <w:r>
        <w:t xml:space="preserve">For 2Q, investors should watch:</w:t>
      </w:r>
    </w:p>
    <w:p>
      <w:pPr>
        <w:pStyle w:val="Compact"/>
        <w:numPr>
          <w:ilvl w:val="0"/>
          <w:numId w:val="1006"/>
        </w:numPr>
      </w:pPr>
      <w:r>
        <w:t xml:space="preserve">Net customer additions and retention.</w:t>
      </w:r>
    </w:p>
    <w:p>
      <w:pPr>
        <w:pStyle w:val="Compact"/>
        <w:numPr>
          <w:ilvl w:val="0"/>
          <w:numId w:val="1006"/>
        </w:numPr>
      </w:pPr>
      <w:r>
        <w:t xml:space="preserve">Recurring service margin per customer.</w:t>
      </w:r>
    </w:p>
    <w:p>
      <w:pPr>
        <w:pStyle w:val="Compact"/>
        <w:numPr>
          <w:ilvl w:val="0"/>
          <w:numId w:val="1006"/>
        </w:numPr>
      </w:pPr>
      <w:r>
        <w:t xml:space="preserve">Customer-acquisition costs.</w:t>
      </w:r>
    </w:p>
    <w:p>
      <w:pPr>
        <w:pStyle w:val="Compact"/>
        <w:numPr>
          <w:ilvl w:val="0"/>
          <w:numId w:val="1006"/>
        </w:numPr>
      </w:pPr>
      <w:r>
        <w:t xml:space="preserve">Evidence of cross-selling between power, smart home, and virtual-power-plant offerings.</w:t>
      </w:r>
    </w:p>
    <w:p>
      <w:pPr>
        <w:pStyle w:val="FirstParagraph"/>
      </w:pPr>
      <w:r>
        <w:t xml:space="preserve">This segment is less directly exposed to weather and wholesale commodity volatility than the energy business, making it valuable to the quality and durability of consolidated cash flow.</w:t>
      </w:r>
    </w:p>
    <w:bookmarkEnd w:id="17"/>
    <w:bookmarkStart w:id="18" w:name="stock-and-positioning"/>
    <w:p>
      <w:pPr>
        <w:pStyle w:val="Heading2"/>
      </w:pPr>
      <w:r>
        <w:t xml:space="preserve">Stock and positioning</w:t>
      </w:r>
    </w:p>
    <w:p>
      <w:pPr>
        <w:pStyle w:val="FirstParagraph"/>
      </w:pPr>
      <w:r>
        <w:t xml:space="preserve">NRG closed at</w:t>
      </w:r>
      <w:r>
        <w:t xml:space="preserve"> </w:t>
      </w:r>
      <w:r>
        <w:rPr>
          <w:b/>
          <w:bCs/>
        </w:rPr>
        <w:t xml:space="preserve">$138.50 on August 3</w:t>
      </w:r>
      <w:r>
        <w:t xml:space="preserve">, down about</w:t>
      </w:r>
      <w:r>
        <w:t xml:space="preserve"> </w:t>
      </w:r>
      <w:r>
        <w:rPr>
          <w:b/>
          <w:bCs/>
        </w:rPr>
        <w:t xml:space="preserve">12.0%</w:t>
      </w:r>
      <w:r>
        <w:t xml:space="preserve"> </w:t>
      </w:r>
      <w:r>
        <w:t xml:space="preserve">from its $157.43 close on May 5, immediately before 1Q earnings. The stock also traded as low as $124.23 on July 29, indicating that expectations appear less elevated than earlier in the quarter.</w:t>
      </w:r>
    </w:p>
    <w:p>
      <w:pPr>
        <w:pStyle w:val="BodyText"/>
      </w:pPr>
      <w:r>
        <w:t xml:space="preserve">That setup raises the importance of guidance durability. A simple in-line result accompanied by reaffirmed full-year targets, improving cash conversion, and solid LS integration may be sufficient to support the shares. Conversely, a miss or cautious commentary on summer performance, working capital, leverage, or data-center timing could reinforce concerns that the enlarged platform is taking longer to convert into per-share value.</w:t>
      </w:r>
    </w:p>
    <w:bookmarkEnd w:id="18"/>
    <w:bookmarkStart w:id="19" w:name="earnings-call-checklist"/>
    <w:p>
      <w:pPr>
        <w:pStyle w:val="Heading2"/>
      </w:pPr>
      <w:r>
        <w:t xml:space="preserve">Earnings-call checklist</w:t>
      </w:r>
    </w:p>
    <w:p>
      <w:pPr>
        <w:pStyle w:val="Compact"/>
        <w:numPr>
          <w:ilvl w:val="0"/>
          <w:numId w:val="1007"/>
        </w:numPr>
      </w:pPr>
      <w:r>
        <w:rPr>
          <w:b/>
          <w:bCs/>
        </w:rPr>
        <w:t xml:space="preserve">Does NRG reaffirm or alter 2026 EBITDA, EPS, and FCFbG guidance?</w:t>
      </w:r>
    </w:p>
    <w:p>
      <w:pPr>
        <w:pStyle w:val="Compact"/>
        <w:numPr>
          <w:ilvl w:val="0"/>
          <w:numId w:val="1007"/>
        </w:numPr>
      </w:pPr>
      <w:r>
        <w:rPr>
          <w:b/>
          <w:bCs/>
        </w:rPr>
        <w:t xml:space="preserve">How much did LS Power/CPower contribute in its first full quarter of ownership?</w:t>
      </w:r>
    </w:p>
    <w:p>
      <w:pPr>
        <w:pStyle w:val="Compact"/>
        <w:numPr>
          <w:ilvl w:val="0"/>
          <w:numId w:val="1007"/>
        </w:numPr>
      </w:pPr>
      <w:r>
        <w:rPr>
          <w:b/>
          <w:bCs/>
        </w:rPr>
        <w:t xml:space="preserve">Did T.H. Wharton achieve commercial operation, on time and on budget?</w:t>
      </w:r>
    </w:p>
    <w:p>
      <w:pPr>
        <w:pStyle w:val="Compact"/>
        <w:numPr>
          <w:ilvl w:val="0"/>
          <w:numId w:val="1007"/>
        </w:numPr>
      </w:pPr>
      <w:r>
        <w:rPr>
          <w:b/>
          <w:bCs/>
        </w:rPr>
        <w:t xml:space="preserve">How did ERCOT weather, retail load, fleet availability, and power prices affect Texas results?</w:t>
      </w:r>
    </w:p>
    <w:p>
      <w:pPr>
        <w:pStyle w:val="Compact"/>
        <w:numPr>
          <w:ilvl w:val="0"/>
          <w:numId w:val="1007"/>
        </w:numPr>
      </w:pPr>
      <w:r>
        <w:rPr>
          <w:b/>
          <w:bCs/>
        </w:rPr>
        <w:t xml:space="preserve">Has 1Q working-capital pressure begun to reverse?</w:t>
      </w:r>
    </w:p>
    <w:p>
      <w:pPr>
        <w:pStyle w:val="Compact"/>
        <w:numPr>
          <w:ilvl w:val="0"/>
          <w:numId w:val="1007"/>
        </w:numPr>
      </w:pPr>
      <w:r>
        <w:rPr>
          <w:b/>
          <w:bCs/>
        </w:rPr>
        <w:t xml:space="preserve">What is the latest liquidity, net leverage, and debt-repayment outlook?</w:t>
      </w:r>
    </w:p>
    <w:p>
      <w:pPr>
        <w:pStyle w:val="Compact"/>
        <w:numPr>
          <w:ilvl w:val="0"/>
          <w:numId w:val="1007"/>
        </w:numPr>
      </w:pPr>
      <w:r>
        <w:rPr>
          <w:b/>
          <w:bCs/>
        </w:rPr>
        <w:t xml:space="preserve">Has the pace of share repurchases continued?</w:t>
      </w:r>
    </w:p>
    <w:p>
      <w:pPr>
        <w:pStyle w:val="Compact"/>
        <w:numPr>
          <w:ilvl w:val="0"/>
          <w:numId w:val="1007"/>
        </w:numPr>
      </w:pPr>
      <w:r>
        <w:rPr>
          <w:b/>
          <w:bCs/>
        </w:rPr>
        <w:t xml:space="preserve">Are data-center and contracted-generation discussions progressing toward signed commitments?</w:t>
      </w:r>
    </w:p>
    <w:p>
      <w:pPr>
        <w:pStyle w:val="Compact"/>
        <w:numPr>
          <w:ilvl w:val="0"/>
          <w:numId w:val="1007"/>
        </w:numPr>
      </w:pPr>
      <w:r>
        <w:rPr>
          <w:b/>
          <w:bCs/>
        </w:rPr>
        <w:t xml:space="preserve">What incremental value, if any, does management attribute to the PJM 2028–2029 auction outcome?</w:t>
      </w:r>
    </w:p>
    <w:p>
      <w:pPr>
        <w:pStyle w:val="Compact"/>
        <w:numPr>
          <w:ilvl w:val="0"/>
          <w:numId w:val="1007"/>
        </w:numPr>
      </w:pPr>
      <w:r>
        <w:rPr>
          <w:b/>
          <w:bCs/>
        </w:rPr>
        <w:t xml:space="preserve">Are Vivint’s customer growth, retention, and service-margin trends still intact?</w:t>
      </w:r>
    </w:p>
    <w:bookmarkEnd w:id="19"/>
    <w:bookmarkStart w:id="20" w:name="bottom-line"/>
    <w:p>
      <w:pPr>
        <w:pStyle w:val="Heading2"/>
      </w:pPr>
      <w:r>
        <w:t xml:space="preserve">Bottom line</w:t>
      </w:r>
    </w:p>
    <w:p>
      <w:pPr>
        <w:pStyle w:val="FirstParagraph"/>
      </w:pPr>
      <w:r>
        <w:t xml:space="preserve">The cleanest bullish outcome is a</w:t>
      </w:r>
      <w:r>
        <w:t xml:space="preserve"> </w:t>
      </w:r>
      <w:r>
        <w:rPr>
          <w:b/>
          <w:bCs/>
        </w:rPr>
        <w:t xml:space="preserve">guidance reaffirmation with tangible proof of execution</w:t>
      </w:r>
      <w:r>
        <w:t xml:space="preserve">: a full-quarter LS contribution in line with plan, normalizing free cash flow, successful Wharton commissioning, strong summer fleet performance, and continued disciplined buybacks/deleveraging.</w:t>
      </w:r>
    </w:p>
    <w:p>
      <w:pPr>
        <w:pStyle w:val="BodyText"/>
      </w:pPr>
      <w:r>
        <w:t xml:space="preserve">The primary risk is not necessarily a volatile GAAP result; it is a signal that weather, retail margins, integration costs, cash conversion, or project timing make the full-year framework harder to achieve. For this report, investors should prioritize the credibility of NRG’s cash-flow trajectory and its ability to convert a larger asset base into durable per-share earnings.</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2026-08-04T00:56:53Z</dcterms:created>
  <dcterms:modified xsi:type="dcterms:W3CDTF">2026-08-04T00:56:53Z</dcterms:modified>
</cp:coreProperties>
</file>

<file path=docProps/custom.xml><?xml version="1.0" encoding="utf-8"?>
<Properties xmlns="http://schemas.openxmlformats.org/officeDocument/2006/custom-properties" xmlns:vt="http://schemas.openxmlformats.org/officeDocument/2006/docPropsVTypes"/>
</file>