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NRG Energy, Inc. (NRG)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NRG Energy, Inc.</w:t>
            </w:r>
          </w:p>
        </w:tc>
      </w:tr>
      <w:tr>
        <w:tc>
          <w:tcPr>
            <w:tcW w:type="dxa" w:w="4320"/>
          </w:tcPr>
          <w:p>
            <w:r>
              <w:rPr>
                <w:rFonts w:ascii="Calibri" w:hAnsi="Calibri"/>
                <w:b/>
                <w:sz w:val="22"/>
              </w:rPr>
              <w:t>Ticker</w:t>
            </w:r>
          </w:p>
        </w:tc>
        <w:tc>
          <w:tcPr>
            <w:tcW w:type="dxa" w:w="4320"/>
          </w:tcPr>
          <w:p>
            <w:r>
              <w:rPr>
                <w:rFonts w:ascii="Calibri" w:hAnsi="Calibri"/>
                <w:sz w:val="22"/>
              </w:rPr>
              <w:t>NRG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Last Earnings</w:t>
            </w:r>
          </w:p>
        </w:tc>
        <w:tc>
          <w:tcPr>
            <w:tcW w:type="dxa" w:w="4320"/>
          </w:tcPr>
          <w:p>
            <w:r>
              <w:rPr>
                <w:rFonts w:ascii="Calibri" w:hAnsi="Calibri"/>
                <w:sz w:val="22"/>
              </w:rPr>
              <w:t>May 6,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constructive but not without risk — consensus Adjusted EBITDA of ~$1.19B for Q2 2026 represents a modest bar given a full quarter of LS Power contribution and what peers confirm was a hot summer in ERCOT, but the stock has already given back ~8% since the Q1 print, leaving valuation less stretched; the single biggest swing factor is whether NRG can announce a data center deal alongside results.</w:t>
      </w:r>
    </w:p>
    <w:p>
      <w:r>
        <w:rPr>
          <w:rFonts w:ascii="Calibri" w:hAnsi="Calibri"/>
          <w:color w:val="525866"/>
          <w:sz w:val="22"/>
        </w:rPr>
        <w:t xml:space="preserve">Heading into Q2 2026 results, NRG's setup is modestly favorable. The consensus Adjusted EBITDA estimate of ~$1.19B is achievable: Q2 is seasonally NRG's strongest quarter, the LS Power portfolio will contribute a full quarter for the first time (vs. ~2 months in Q1), and peer commentary from Vistra and Exelon confirms ERCOT hit a record peak demand of 91+ GW in July with summer heat driving meaningful price spikes — a tailwind for NRG's Texas generation and retail book. Management reaffirmed full-year 2026 guidance on the Q1 call and expressed greater confidence on free cash flow than EBITDA, implying the back half is tracking to plan. Estimate revisions have been modestly negative since the Q1 print (FY 2026 EBITDA consensus slipped from ~$5.43B to ~$5.51B, a slight uptick, while Q2 estimates dipped slightly), suggesting the bar has not been raised aggressively. The stock has declined ~8% since the Q1 earnings date vs. XLU down ~3% and SPY up ~3%, meaning the market has already partially de-rated NRG on the Q1 miss — a lower entry point that reduces the risk of a "sell the news" reaction if results are in-line. The key wildcard is a </w:t>
      </w:r>
      <w:r>
        <w:rPr>
          <w:rFonts w:ascii="Calibri" w:hAnsi="Calibri"/>
          <w:b/>
          <w:color w:val="525866"/>
          <w:sz w:val="22"/>
        </w:rPr>
        <w:t>data center deal announcement</w:t>
      </w:r>
      <w:r>
        <w:rPr>
          <w:rFonts w:ascii="Calibri" w:hAnsi="Calibri"/>
          <w:color w:val="525866"/>
          <w:sz w:val="22"/>
        </w:rPr>
        <w:t>: CEO Gaudette stated on the Q1 call that "to hit '29, we've got to get something done in '26," and any signed large load agreement would be a significant positive catalyst that the current multiple does not appear to price in.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moderate bar for Q2 2026 — Adjusted EBITDA of ~$1.19B implies solid YoY growth driven by the first full-quarter LS Power contribution, while Operating EPS of ~$1.66 is the bigger swing factor given its sensitivity to interest expense and D&amp;A from the acquisition.</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EBITDA ($M)</w:t>
            </w:r>
          </w:p>
        </w:tc>
        <w:tc>
          <w:tcPr>
            <w:tcW w:type="dxa" w:w="1234"/>
          </w:tcPr>
          <w:p>
            <w:r>
              <w:rPr>
                <w:rFonts w:ascii="Calibri" w:hAnsi="Calibri"/>
                <w:sz w:val="22"/>
              </w:rPr>
              <w:t>$1,080</w:t>
            </w:r>
          </w:p>
        </w:tc>
        <w:tc>
          <w:tcPr>
            <w:tcW w:type="dxa" w:w="1234"/>
          </w:tcPr>
          <w:p>
            <w:r>
              <w:rPr>
                <w:rFonts w:ascii="Calibri" w:hAnsi="Calibri"/>
                <w:sz w:val="22"/>
              </w:rPr>
              <w:t>$909</w:t>
            </w:r>
          </w:p>
        </w:tc>
        <w:tc>
          <w:tcPr>
            <w:tcW w:type="dxa" w:w="1234"/>
          </w:tcPr>
          <w:p>
            <w:r>
              <w:rPr>
                <w:rFonts w:ascii="Calibri" w:hAnsi="Calibri"/>
                <w:sz w:val="22"/>
              </w:rPr>
              <w:t>$1,191</w:t>
            </w:r>
          </w:p>
        </w:tc>
        <w:tc>
          <w:tcPr>
            <w:tcW w:type="dxa" w:w="1234"/>
          </w:tcPr>
          <w:p>
            <w:r>
              <w:rPr>
                <w:rFonts w:ascii="Calibri" w:hAnsi="Calibri"/>
                <w:sz w:val="22"/>
              </w:rPr>
              <w:t>+31.0%</w:t>
            </w:r>
          </w:p>
        </w:tc>
        <w:tc>
          <w:tcPr>
            <w:tcW w:type="dxa" w:w="1234"/>
          </w:tcPr>
          <w:p>
            <w:r>
              <w:rPr>
                <w:rFonts w:ascii="Calibri" w:hAnsi="Calibri"/>
                <w:sz w:val="22"/>
              </w:rPr>
              <w:t>$5,250–$5,750M (mid: $5,500M)</w:t>
            </w:r>
          </w:p>
        </w:tc>
        <w:tc>
          <w:tcPr>
            <w:tcW w:type="dxa" w:w="1234"/>
          </w:tcPr>
          <w:p>
            <w:r>
              <w:rPr>
                <w:rFonts w:ascii="Calibri" w:hAnsi="Calibri"/>
                <w:sz w:val="22"/>
              </w:rPr>
              <w:t>~+0.1% vs. mid</w:t>
            </w:r>
          </w:p>
        </w:tc>
      </w:tr>
      <w:tr>
        <w:tc>
          <w:tcPr>
            <w:tcW w:type="dxa" w:w="1234"/>
          </w:tcPr>
          <w:p>
            <w:r>
              <w:rPr>
                <w:rFonts w:ascii="Calibri" w:hAnsi="Calibri"/>
                <w:sz w:val="22"/>
              </w:rPr>
              <w:t>Operating EPS (Diluted, $)</w:t>
            </w:r>
          </w:p>
        </w:tc>
        <w:tc>
          <w:tcPr>
            <w:tcW w:type="dxa" w:w="1234"/>
          </w:tcPr>
          <w:p>
            <w:r>
              <w:rPr>
                <w:rFonts w:ascii="Calibri" w:hAnsi="Calibri"/>
                <w:sz w:val="22"/>
              </w:rPr>
              <w:t>$1.48</w:t>
            </w:r>
          </w:p>
        </w:tc>
        <w:tc>
          <w:tcPr>
            <w:tcW w:type="dxa" w:w="1234"/>
          </w:tcPr>
          <w:p>
            <w:r>
              <w:rPr>
                <w:rFonts w:ascii="Calibri" w:hAnsi="Calibri"/>
                <w:sz w:val="22"/>
              </w:rPr>
              <w:t>$1.68</w:t>
            </w:r>
          </w:p>
        </w:tc>
        <w:tc>
          <w:tcPr>
            <w:tcW w:type="dxa" w:w="1234"/>
          </w:tcPr>
          <w:p>
            <w:r>
              <w:rPr>
                <w:rFonts w:ascii="Calibri" w:hAnsi="Calibri"/>
                <w:sz w:val="22"/>
              </w:rPr>
              <w:t>$1.66</w:t>
            </w:r>
          </w:p>
        </w:tc>
        <w:tc>
          <w:tcPr>
            <w:tcW w:type="dxa" w:w="1234"/>
          </w:tcPr>
          <w:p>
            <w:r>
              <w:rPr>
                <w:rFonts w:ascii="Calibri" w:hAnsi="Calibri"/>
                <w:sz w:val="22"/>
              </w:rPr>
              <w:t>-1.2%</w:t>
            </w:r>
          </w:p>
        </w:tc>
        <w:tc>
          <w:tcPr>
            <w:tcW w:type="dxa" w:w="1234"/>
          </w:tcPr>
          <w:p>
            <w:r>
              <w:rPr>
                <w:rFonts w:ascii="Calibri" w:hAnsi="Calibri"/>
                <w:sz w:val="22"/>
              </w:rPr>
              <w:t>$7.90–$9.90 (mid: $8.90)</w:t>
            </w:r>
          </w:p>
        </w:tc>
        <w:tc>
          <w:tcPr>
            <w:tcW w:type="dxa" w:w="1234"/>
          </w:tcPr>
          <w:p>
            <w:r>
              <w:rPr>
                <w:rFonts w:ascii="Calibri" w:hAnsi="Calibri"/>
                <w:sz w:val="22"/>
              </w:rPr>
              <w:t>~+0.3% vs. mid (FY)</w:t>
            </w:r>
          </w:p>
        </w:tc>
      </w:tr>
      <w:tr>
        <w:tc>
          <w:tcPr>
            <w:tcW w:type="dxa" w:w="1234"/>
          </w:tcPr>
          <w:p>
            <w:r>
              <w:rPr>
                <w:rFonts w:ascii="Calibri" w:hAnsi="Calibri"/>
                <w:sz w:val="22"/>
              </w:rPr>
              <w:t>Total Revenue ($M)</w:t>
            </w:r>
          </w:p>
        </w:tc>
        <w:tc>
          <w:tcPr>
            <w:tcW w:type="dxa" w:w="1234"/>
          </w:tcPr>
          <w:p>
            <w:r>
              <w:rPr>
                <w:rFonts w:ascii="Calibri" w:hAnsi="Calibri"/>
                <w:sz w:val="22"/>
              </w:rPr>
              <w:t>$10,256</w:t>
            </w:r>
          </w:p>
        </w:tc>
        <w:tc>
          <w:tcPr>
            <w:tcW w:type="dxa" w:w="1234"/>
          </w:tcPr>
          <w:p>
            <w:r>
              <w:rPr>
                <w:rFonts w:ascii="Calibri" w:hAnsi="Calibri"/>
                <w:sz w:val="22"/>
              </w:rPr>
              <w:t>$6,740</w:t>
            </w:r>
          </w:p>
        </w:tc>
        <w:tc>
          <w:tcPr>
            <w:tcW w:type="dxa" w:w="1234"/>
          </w:tcPr>
          <w:p>
            <w:r>
              <w:rPr>
                <w:rFonts w:ascii="Calibri" w:hAnsi="Calibri"/>
                <w:sz w:val="22"/>
              </w:rPr>
              <w:t>$7,588</w:t>
            </w:r>
          </w:p>
        </w:tc>
        <w:tc>
          <w:tcPr>
            <w:tcW w:type="dxa" w:w="1234"/>
          </w:tcPr>
          <w:p>
            <w:r>
              <w:rPr>
                <w:rFonts w:ascii="Calibri" w:hAnsi="Calibri"/>
                <w:sz w:val="22"/>
              </w:rPr>
              <w:t>+12.6%</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Capital Expenditures ($M)</w:t>
            </w:r>
          </w:p>
        </w:tc>
        <w:tc>
          <w:tcPr>
            <w:tcW w:type="dxa" w:w="1234"/>
          </w:tcPr>
          <w:p>
            <w:r>
              <w:rPr>
                <w:rFonts w:ascii="Calibri" w:hAnsi="Calibri"/>
                <w:sz w:val="22"/>
              </w:rPr>
              <w:t>$317</w:t>
            </w:r>
          </w:p>
        </w:tc>
        <w:tc>
          <w:tcPr>
            <w:tcW w:type="dxa" w:w="1234"/>
          </w:tcPr>
          <w:p>
            <w:r>
              <w:rPr>
                <w:rFonts w:ascii="Calibri" w:hAnsi="Calibri"/>
                <w:sz w:val="22"/>
              </w:rPr>
              <w:t>$378</w:t>
            </w:r>
          </w:p>
        </w:tc>
        <w:tc>
          <w:tcPr>
            <w:tcW w:type="dxa" w:w="1234"/>
          </w:tcPr>
          <w:p>
            <w:r>
              <w:rPr>
                <w:rFonts w:ascii="Calibri" w:hAnsi="Calibri"/>
                <w:sz w:val="22"/>
              </w:rPr>
              <w:t>$188</w:t>
            </w:r>
          </w:p>
        </w:tc>
        <w:tc>
          <w:tcPr>
            <w:tcW w:type="dxa" w:w="1234"/>
          </w:tcPr>
          <w:p>
            <w:r>
              <w:rPr>
                <w:rFonts w:ascii="Calibri" w:hAnsi="Calibri"/>
                <w:sz w:val="22"/>
              </w:rPr>
              <w:t>-50.3%</w:t>
            </w:r>
          </w:p>
        </w:tc>
        <w:tc>
          <w:tcPr>
            <w:tcW w:type="dxa" w:w="1234"/>
          </w:tcPr>
          <w:p>
            <w:r>
              <w:rPr>
                <w:rFonts w:ascii="Calibri" w:hAnsi="Calibri"/>
                <w:sz w:val="22"/>
              </w:rPr>
              <w:t>~$871M FY (consensus)</w:t>
            </w:r>
          </w:p>
        </w:tc>
        <w:tc>
          <w:tcPr>
            <w:tcW w:type="dxa" w:w="1234"/>
          </w:tcPr>
          <w:p>
            <w:r>
              <w:rPr>
                <w:rFonts w:ascii="Calibri" w:hAnsi="Calibri"/>
                <w:sz w:val="22"/>
              </w:rPr>
              <w:t>N/A</w:t>
            </w:r>
          </w:p>
        </w:tc>
      </w:tr>
      <w:tr>
        <w:tc>
          <w:tcPr>
            <w:tcW w:type="dxa" w:w="1234"/>
          </w:tcPr>
          <w:p>
            <w:r>
              <w:rPr>
                <w:rFonts w:ascii="Calibri" w:hAnsi="Calibri"/>
                <w:sz w:val="22"/>
              </w:rPr>
              <w:t>Operating Cash Flow ($M)</w:t>
            </w:r>
          </w:p>
        </w:tc>
        <w:tc>
          <w:tcPr>
            <w:tcW w:type="dxa" w:w="1234"/>
          </w:tcPr>
          <w:p>
            <w:r>
              <w:rPr>
                <w:rFonts w:ascii="Calibri" w:hAnsi="Calibri"/>
                <w:sz w:val="22"/>
              </w:rPr>
              <w:t>-$169</w:t>
            </w:r>
          </w:p>
        </w:tc>
        <w:tc>
          <w:tcPr>
            <w:tcW w:type="dxa" w:w="1234"/>
          </w:tcPr>
          <w:p>
            <w:r>
              <w:rPr>
                <w:rFonts w:ascii="Calibri" w:hAnsi="Calibri"/>
                <w:sz w:val="22"/>
              </w:rPr>
              <w:t>$451</w:t>
            </w:r>
          </w:p>
        </w:tc>
        <w:tc>
          <w:tcPr>
            <w:tcW w:type="dxa" w:w="1234"/>
          </w:tcPr>
          <w:p>
            <w:r>
              <w:rPr>
                <w:rFonts w:ascii="Calibri" w:hAnsi="Calibri"/>
                <w:sz w:val="22"/>
              </w:rPr>
              <w:t>$1,102</w:t>
            </w:r>
          </w:p>
        </w:tc>
        <w:tc>
          <w:tcPr>
            <w:tcW w:type="dxa" w:w="1234"/>
          </w:tcPr>
          <w:p>
            <w:r>
              <w:rPr>
                <w:rFonts w:ascii="Calibri" w:hAnsi="Calibri"/>
                <w:sz w:val="22"/>
              </w:rPr>
              <w:t>+144.3%</w:t>
            </w:r>
          </w:p>
        </w:tc>
        <w:tc>
          <w:tcPr>
            <w:tcW w:type="dxa" w:w="1234"/>
          </w:tcPr>
          <w:p>
            <w:r>
              <w:rPr>
                <w:rFonts w:ascii="Calibri" w:hAnsi="Calibri"/>
                <w:sz w:val="22"/>
              </w:rPr>
              <w:t>~$3,287M FY (consensus)</w:t>
            </w:r>
          </w:p>
        </w:tc>
        <w:tc>
          <w:tcPr>
            <w:tcW w:type="dxa" w:w="1234"/>
          </w:tcPr>
          <w:p>
            <w:r>
              <w:rPr>
                <w:rFonts w:ascii="Calibri" w:hAnsi="Calibri"/>
                <w:sz w:val="22"/>
              </w:rPr>
              <w:t>N/A</w:t>
            </w:r>
          </w:p>
        </w:tc>
      </w:tr>
    </w:tbl>
    <w:p>
      <w:r>
        <w:rPr>
          <w:rFonts w:ascii="Calibri" w:hAnsi="Calibri"/>
          <w:i/>
          <w:color w:val="525866"/>
          <w:sz w:val="22"/>
        </w:rPr>
        <w:t>Sources: Visible Alpha Consensus and Actuals Data. Q2 2026 consensus as of latest available. FY 2026 guidance as stated on Q1 2026 earnings call (May 6, 2026). Operating EPS FY guidance range of $7.90–$9.90 per internet sources; Adjusted EBITDA FY guidance range of $5,250–$5,750M per Q1 2026 earnings release. Q1 2026 Actual Adjusted EBITDA of $1,080M and Operating EPS of $1.48 per Q1 2026 earnings release.</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Adjusted EBITDA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$1,080</w:t>
            </w:r>
          </w:p>
        </w:tc>
        <w:tc>
          <w:tcPr>
            <w:tcW w:type="dxa" w:w="1728"/>
          </w:tcPr>
          <w:p>
            <w:r>
              <w:rPr>
                <w:rFonts w:ascii="Calibri" w:hAnsi="Calibri"/>
                <w:sz w:val="22"/>
              </w:rPr>
              <w:t>$1,205</w:t>
            </w:r>
          </w:p>
        </w:tc>
        <w:tc>
          <w:tcPr>
            <w:tcW w:type="dxa" w:w="1728"/>
          </w:tcPr>
          <w:p>
            <w:r>
              <w:rPr>
                <w:rFonts w:ascii="Calibri" w:hAnsi="Calibri"/>
                <w:sz w:val="22"/>
              </w:rPr>
              <w:t>-10.4%</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$847</w:t>
            </w:r>
          </w:p>
        </w:tc>
        <w:tc>
          <w:tcPr>
            <w:tcW w:type="dxa" w:w="1728"/>
          </w:tcPr>
          <w:p>
            <w:r>
              <w:rPr>
                <w:rFonts w:ascii="Calibri" w:hAnsi="Calibri"/>
                <w:sz w:val="22"/>
              </w:rPr>
              <w:t>$801</w:t>
            </w:r>
          </w:p>
        </w:tc>
        <w:tc>
          <w:tcPr>
            <w:tcW w:type="dxa" w:w="1728"/>
          </w:tcPr>
          <w:p>
            <w:r>
              <w:rPr>
                <w:rFonts w:ascii="Calibri" w:hAnsi="Calibri"/>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$1,205</w:t>
            </w:r>
          </w:p>
        </w:tc>
        <w:tc>
          <w:tcPr>
            <w:tcW w:type="dxa" w:w="1728"/>
          </w:tcPr>
          <w:p>
            <w:r>
              <w:rPr>
                <w:rFonts w:ascii="Calibri" w:hAnsi="Calibri"/>
                <w:sz w:val="22"/>
              </w:rPr>
              <w:t>$1,092</w:t>
            </w:r>
          </w:p>
        </w:tc>
        <w:tc>
          <w:tcPr>
            <w:tcW w:type="dxa" w:w="1728"/>
          </w:tcPr>
          <w:p>
            <w:r>
              <w:rPr>
                <w:rFonts w:ascii="Calibri" w:hAnsi="Calibri"/>
                <w:sz w:val="22"/>
              </w:rPr>
              <w:t>+10.3%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$909</w:t>
            </w:r>
          </w:p>
        </w:tc>
        <w:tc>
          <w:tcPr>
            <w:tcW w:type="dxa" w:w="1728"/>
          </w:tcPr>
          <w:p>
            <w:r>
              <w:rPr>
                <w:rFonts w:ascii="Calibri" w:hAnsi="Calibri"/>
                <w:sz w:val="22"/>
              </w:rPr>
              <w:t>$906</w:t>
            </w:r>
          </w:p>
        </w:tc>
        <w:tc>
          <w:tcPr>
            <w:tcW w:type="dxa" w:w="1728"/>
          </w:tcPr>
          <w:p>
            <w:r>
              <w:rPr>
                <w:rFonts w:ascii="Calibri" w:hAnsi="Calibri"/>
                <w:sz w:val="22"/>
              </w:rPr>
              <w:t>+0.3%</w:t>
            </w:r>
          </w:p>
        </w:tc>
        <w:tc>
          <w:tcPr>
            <w:tcW w:type="dxa" w:w="1728"/>
          </w:tcPr>
          <w:p>
            <w:r>
              <w:rPr>
                <w:rFonts w:ascii="Calibri" w:hAnsi="Calibri"/>
                <w:sz w:val="22"/>
              </w:rPr>
              <w:t>In-Line</w:t>
            </w:r>
          </w:p>
        </w:tc>
      </w:tr>
      <w:tr>
        <w:tc>
          <w:tcPr>
            <w:tcW w:type="dxa" w:w="1728"/>
          </w:tcPr>
          <w:p>
            <w:r>
              <w:rPr>
                <w:rFonts w:ascii="Calibri" w:hAnsi="Calibri"/>
                <w:sz w:val="22"/>
              </w:rPr>
              <w:t>Q1 2025</w:t>
            </w:r>
          </w:p>
        </w:tc>
        <w:tc>
          <w:tcPr>
            <w:tcW w:type="dxa" w:w="1728"/>
          </w:tcPr>
          <w:p>
            <w:r>
              <w:rPr>
                <w:rFonts w:ascii="Calibri" w:hAnsi="Calibri"/>
                <w:sz w:val="22"/>
              </w:rPr>
              <w:t>$1,126</w:t>
            </w:r>
          </w:p>
        </w:tc>
        <w:tc>
          <w:tcPr>
            <w:tcW w:type="dxa" w:w="1728"/>
          </w:tcPr>
          <w:p>
            <w:r>
              <w:rPr>
                <w:rFonts w:ascii="Calibri" w:hAnsi="Calibri"/>
                <w:sz w:val="22"/>
              </w:rPr>
              <w:t>$936</w:t>
            </w:r>
          </w:p>
        </w:tc>
        <w:tc>
          <w:tcPr>
            <w:tcW w:type="dxa" w:w="1728"/>
          </w:tcPr>
          <w:p>
            <w:r>
              <w:rPr>
                <w:rFonts w:ascii="Calibri" w:hAnsi="Calibri"/>
                <w:sz w:val="22"/>
              </w:rPr>
              <w:t>+20.3%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$902</w:t>
            </w:r>
          </w:p>
        </w:tc>
        <w:tc>
          <w:tcPr>
            <w:tcW w:type="dxa" w:w="1728"/>
          </w:tcPr>
          <w:p>
            <w:r>
              <w:rPr>
                <w:rFonts w:ascii="Calibri" w:hAnsi="Calibri"/>
                <w:sz w:val="22"/>
              </w:rPr>
              <w:t>$796</w:t>
            </w:r>
          </w:p>
        </w:tc>
        <w:tc>
          <w:tcPr>
            <w:tcW w:type="dxa" w:w="1728"/>
          </w:tcPr>
          <w:p>
            <w:r>
              <w:rPr>
                <w:rFonts w:ascii="Calibri" w:hAnsi="Calibri"/>
                <w:sz w:val="22"/>
              </w:rPr>
              <w:t>+13.3%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$1,055</w:t>
            </w:r>
          </w:p>
        </w:tc>
        <w:tc>
          <w:tcPr>
            <w:tcW w:type="dxa" w:w="1728"/>
          </w:tcPr>
          <w:p>
            <w:r>
              <w:rPr>
                <w:rFonts w:ascii="Calibri" w:hAnsi="Calibri"/>
                <w:sz w:val="22"/>
              </w:rPr>
              <w:t>$1,014</w:t>
            </w:r>
          </w:p>
        </w:tc>
        <w:tc>
          <w:tcPr>
            <w:tcW w:type="dxa" w:w="1728"/>
          </w:tcPr>
          <w:p>
            <w:r>
              <w:rPr>
                <w:rFonts w:ascii="Calibri" w:hAnsi="Calibri"/>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$962</w:t>
            </w:r>
          </w:p>
        </w:tc>
        <w:tc>
          <w:tcPr>
            <w:tcW w:type="dxa" w:w="1728"/>
          </w:tcPr>
          <w:p>
            <w:r>
              <w:rPr>
                <w:rFonts w:ascii="Calibri" w:hAnsi="Calibri"/>
                <w:sz w:val="22"/>
              </w:rPr>
              <w:t>$848</w:t>
            </w:r>
          </w:p>
        </w:tc>
        <w:tc>
          <w:tcPr>
            <w:tcW w:type="dxa" w:w="1728"/>
          </w:tcPr>
          <w:p>
            <w:r>
              <w:rPr>
                <w:rFonts w:ascii="Calibri" w:hAnsi="Calibri"/>
                <w:sz w:val="22"/>
              </w:rPr>
              <w:t>+13.4%</w:t>
            </w:r>
          </w:p>
        </w:tc>
        <w:tc>
          <w:tcPr>
            <w:tcW w:type="dxa" w:w="1728"/>
          </w:tcPr>
          <w:p>
            <w:r>
              <w:rPr>
                <w:rFonts w:ascii="Calibri" w:hAnsi="Calibri"/>
                <w:b/>
                <w:color w:val="30A46C"/>
                <w:sz w:val="22"/>
              </w:rPr>
              <w:t>Beat</w:t>
            </w:r>
          </w:p>
        </w:tc>
      </w:tr>
    </w:tbl>
    <w:p>
      <w:pPr>
        <w:pStyle w:val="Heading3"/>
      </w:pPr>
      <w:r>
        <w:rPr>
          <w:rFonts w:ascii="Calibri" w:hAnsi="Calibri"/>
          <w:b/>
          <w:color w:val="3B4259"/>
          <w:sz w:val="24"/>
        </w:rPr>
        <w:t>Operating EPS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$1.48</w:t>
            </w:r>
          </w:p>
        </w:tc>
        <w:tc>
          <w:tcPr>
            <w:tcW w:type="dxa" w:w="1728"/>
          </w:tcPr>
          <w:p>
            <w:r>
              <w:rPr>
                <w:rFonts w:ascii="Calibri" w:hAnsi="Calibri"/>
                <w:sz w:val="22"/>
              </w:rPr>
              <w:t>$1.72</w:t>
            </w:r>
          </w:p>
        </w:tc>
        <w:tc>
          <w:tcPr>
            <w:tcW w:type="dxa" w:w="1728"/>
          </w:tcPr>
          <w:p>
            <w:r>
              <w:rPr>
                <w:rFonts w:ascii="Calibri" w:hAnsi="Calibri"/>
                <w:sz w:val="22"/>
              </w:rPr>
              <w:t>-13.9%</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$1.02</w:t>
            </w:r>
          </w:p>
        </w:tc>
        <w:tc>
          <w:tcPr>
            <w:tcW w:type="dxa" w:w="1728"/>
          </w:tcPr>
          <w:p>
            <w:r>
              <w:rPr>
                <w:rFonts w:ascii="Calibri" w:hAnsi="Calibri"/>
                <w:sz w:val="22"/>
              </w:rPr>
              <w:t>$1.03</w:t>
            </w:r>
          </w:p>
        </w:tc>
        <w:tc>
          <w:tcPr>
            <w:tcW w:type="dxa" w:w="1728"/>
          </w:tcPr>
          <w:p>
            <w:r>
              <w:rPr>
                <w:rFonts w:ascii="Calibri" w:hAnsi="Calibri"/>
                <w:sz w:val="22"/>
              </w:rPr>
              <w:t>-1.0%</w:t>
            </w:r>
          </w:p>
        </w:tc>
        <w:tc>
          <w:tcPr>
            <w:tcW w:type="dxa" w:w="1728"/>
          </w:tcPr>
          <w:p>
            <w:r>
              <w:rPr>
                <w:rFonts w:ascii="Calibri" w:hAnsi="Calibri"/>
                <w:sz w:val="22"/>
              </w:rPr>
              <w:t>In-Line</w:t>
            </w:r>
          </w:p>
        </w:tc>
      </w:tr>
      <w:tr>
        <w:tc>
          <w:tcPr>
            <w:tcW w:type="dxa" w:w="1728"/>
          </w:tcPr>
          <w:p>
            <w:r>
              <w:rPr>
                <w:rFonts w:ascii="Calibri" w:hAnsi="Calibri"/>
                <w:sz w:val="22"/>
              </w:rPr>
              <w:t>Q3 2025</w:t>
            </w:r>
          </w:p>
        </w:tc>
        <w:tc>
          <w:tcPr>
            <w:tcW w:type="dxa" w:w="1728"/>
          </w:tcPr>
          <w:p>
            <w:r>
              <w:rPr>
                <w:rFonts w:ascii="Calibri" w:hAnsi="Calibri"/>
                <w:sz w:val="22"/>
              </w:rPr>
              <w:t>$2.75</w:t>
            </w:r>
          </w:p>
        </w:tc>
        <w:tc>
          <w:tcPr>
            <w:tcW w:type="dxa" w:w="1728"/>
          </w:tcPr>
          <w:p>
            <w:r>
              <w:rPr>
                <w:rFonts w:ascii="Calibri" w:hAnsi="Calibri"/>
                <w:sz w:val="22"/>
              </w:rPr>
              <w:t>$2.24</w:t>
            </w:r>
          </w:p>
        </w:tc>
        <w:tc>
          <w:tcPr>
            <w:tcW w:type="dxa" w:w="1728"/>
          </w:tcPr>
          <w:p>
            <w:r>
              <w:rPr>
                <w:rFonts w:ascii="Calibri" w:hAnsi="Calibri"/>
                <w:sz w:val="22"/>
              </w:rPr>
              <w:t>+22.8%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$1.68</w:t>
            </w:r>
          </w:p>
        </w:tc>
        <w:tc>
          <w:tcPr>
            <w:tcW w:type="dxa" w:w="1728"/>
          </w:tcPr>
          <w:p>
            <w:r>
              <w:rPr>
                <w:rFonts w:ascii="Calibri" w:hAnsi="Calibri"/>
                <w:sz w:val="22"/>
              </w:rPr>
              <w:t>$1.54</w:t>
            </w:r>
          </w:p>
        </w:tc>
        <w:tc>
          <w:tcPr>
            <w:tcW w:type="dxa" w:w="1728"/>
          </w:tcPr>
          <w:p>
            <w:r>
              <w:rPr>
                <w:rFonts w:ascii="Calibri" w:hAnsi="Calibri"/>
                <w:sz w:val="22"/>
              </w:rPr>
              <w:t>+9.1%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$2.62</w:t>
            </w:r>
          </w:p>
        </w:tc>
        <w:tc>
          <w:tcPr>
            <w:tcW w:type="dxa" w:w="1728"/>
          </w:tcPr>
          <w:p>
            <w:r>
              <w:rPr>
                <w:rFonts w:ascii="Calibri" w:hAnsi="Calibri"/>
                <w:sz w:val="22"/>
              </w:rPr>
              <w:t>$1.80</w:t>
            </w:r>
          </w:p>
        </w:tc>
        <w:tc>
          <w:tcPr>
            <w:tcW w:type="dxa" w:w="1728"/>
          </w:tcPr>
          <w:p>
            <w:r>
              <w:rPr>
                <w:rFonts w:ascii="Calibri" w:hAnsi="Calibri"/>
                <w:sz w:val="22"/>
              </w:rPr>
              <w:t>+45.6%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$1.51</w:t>
            </w:r>
          </w:p>
        </w:tc>
        <w:tc>
          <w:tcPr>
            <w:tcW w:type="dxa" w:w="1728"/>
          </w:tcPr>
          <w:p>
            <w:r>
              <w:rPr>
                <w:rFonts w:ascii="Calibri" w:hAnsi="Calibri"/>
                <w:sz w:val="22"/>
              </w:rPr>
              <w:t>$0.95</w:t>
            </w:r>
          </w:p>
        </w:tc>
        <w:tc>
          <w:tcPr>
            <w:tcW w:type="dxa" w:w="1728"/>
          </w:tcPr>
          <w:p>
            <w:r>
              <w:rPr>
                <w:rFonts w:ascii="Calibri" w:hAnsi="Calibri"/>
                <w:sz w:val="22"/>
              </w:rPr>
              <w:t>+58.9%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$2.05</w:t>
            </w:r>
          </w:p>
        </w:tc>
        <w:tc>
          <w:tcPr>
            <w:tcW w:type="dxa" w:w="1728"/>
          </w:tcPr>
          <w:p>
            <w:r>
              <w:rPr>
                <w:rFonts w:ascii="Calibri" w:hAnsi="Calibri"/>
                <w:sz w:val="22"/>
              </w:rPr>
              <w:t>$2.05</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2024</w:t>
            </w:r>
          </w:p>
        </w:tc>
        <w:tc>
          <w:tcPr>
            <w:tcW w:type="dxa" w:w="1728"/>
          </w:tcPr>
          <w:p>
            <w:r>
              <w:rPr>
                <w:rFonts w:ascii="Calibri" w:hAnsi="Calibri"/>
                <w:sz w:val="22"/>
              </w:rPr>
              <w:t>$1.65</w:t>
            </w:r>
          </w:p>
        </w:tc>
        <w:tc>
          <w:tcPr>
            <w:tcW w:type="dxa" w:w="1728"/>
          </w:tcPr>
          <w:p>
            <w:r>
              <w:rPr>
                <w:rFonts w:ascii="Calibri" w:hAnsi="Calibri"/>
                <w:sz w:val="22"/>
              </w:rPr>
              <w:t>$0.98</w:t>
            </w:r>
          </w:p>
        </w:tc>
        <w:tc>
          <w:tcPr>
            <w:tcW w:type="dxa" w:w="1728"/>
          </w:tcPr>
          <w:p>
            <w:r>
              <w:rPr>
                <w:rFonts w:ascii="Calibri" w:hAnsi="Calibri"/>
                <w:sz w:val="22"/>
              </w:rPr>
              <w:t>+68.4%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NRG has beaten Adjusted EBITDA consensus in 6 of the last 8 quarters, with the lone miss in Q1 2026 driven by weather (mild Texas heating season + Winter Storm Fern supply cost spike) and partial-quarter LS Power contribution — both one-time factors that do not apply to Q2. Operating EPS beats have been even more consistent through Q3 2025, with Q1 2026 the first meaningful miss in recent history.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Full-year 2026 guidance has been reaffirmed unchanged since the Q1 2026 earnings call; no post-earnings guidance revision events have occurred, and management tone has been stable-to-constructive, with the CFO expressing greater confidence on free cash flow than EBITDA for the full year.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EBITDA</w:t>
            </w:r>
          </w:p>
        </w:tc>
        <w:tc>
          <w:tcPr>
            <w:tcW w:type="dxa" w:w="1728"/>
          </w:tcPr>
          <w:p>
            <w:r>
              <w:rPr>
                <w:rFonts w:ascii="Calibri" w:hAnsi="Calibri"/>
                <w:sz w:val="22"/>
              </w:rPr>
              <w:t>$5,250–$5,750M (mid: $5,500M)</w:t>
            </w:r>
          </w:p>
        </w:tc>
        <w:tc>
          <w:tcPr>
            <w:tcW w:type="dxa" w:w="1728"/>
          </w:tcPr>
          <w:p>
            <w:r>
              <w:rPr>
                <w:rFonts w:ascii="Calibri" w:hAnsi="Calibri"/>
                <w:sz w:val="22"/>
              </w:rPr>
              <w:t>—</w:t>
            </w:r>
          </w:p>
        </w:tc>
        <w:tc>
          <w:tcPr>
            <w:tcW w:type="dxa" w:w="1728"/>
          </w:tcPr>
          <w:p>
            <w:r>
              <w:rPr>
                <w:rFonts w:ascii="Calibri" w:hAnsi="Calibri"/>
                <w:sz w:val="22"/>
              </w:rPr>
              <w:t>$5,506M</w:t>
            </w:r>
          </w:p>
        </w:tc>
        <w:tc>
          <w:tcPr>
            <w:tcW w:type="dxa" w:w="1728"/>
          </w:tcPr>
          <w:p>
            <w:r>
              <w:rPr>
                <w:rFonts w:ascii="Calibri" w:hAnsi="Calibri"/>
                <w:sz w:val="22"/>
              </w:rPr>
              <w:t>Reaffirmed; no post-earnings change. CFO noted seasonal weighting toward last 3 quarters supports comfort with range.</w:t>
            </w:r>
          </w:p>
        </w:tc>
      </w:tr>
      <w:tr>
        <w:tc>
          <w:tcPr>
            <w:tcW w:type="dxa" w:w="1728"/>
          </w:tcPr>
          <w:p>
            <w:r>
              <w:rPr>
                <w:rFonts w:ascii="Calibri" w:hAnsi="Calibri"/>
                <w:sz w:val="22"/>
              </w:rPr>
              <w:t>FY 2026 Free Cash Flow Before Growth</w:t>
            </w:r>
          </w:p>
        </w:tc>
        <w:tc>
          <w:tcPr>
            <w:tcW w:type="dxa" w:w="1728"/>
          </w:tcPr>
          <w:p>
            <w:r>
              <w:rPr>
                <w:rFonts w:ascii="Calibri" w:hAnsi="Calibri"/>
                <w:sz w:val="22"/>
              </w:rPr>
              <w:t>Midpoint ~$3,050M (capital available for allocation)</w:t>
            </w:r>
          </w:p>
        </w:tc>
        <w:tc>
          <w:tcPr>
            <w:tcW w:type="dxa" w:w="1728"/>
          </w:tcPr>
          <w:p>
            <w:r>
              <w:rPr>
                <w:rFonts w:ascii="Calibri" w:hAnsi="Calibri"/>
                <w:sz w:val="22"/>
              </w:rPr>
              <w:t>—</w:t>
            </w:r>
          </w:p>
        </w:tc>
        <w:tc>
          <w:tcPr>
            <w:tcW w:type="dxa" w:w="1728"/>
          </w:tcPr>
          <w:p>
            <w:r>
              <w:rPr>
                <w:rFonts w:ascii="Calibri" w:hAnsi="Calibri"/>
                <w:sz w:val="22"/>
              </w:rPr>
              <w:t>$3,287M (operating CF consensus)</w:t>
            </w:r>
          </w:p>
        </w:tc>
        <w:tc>
          <w:tcPr>
            <w:tcW w:type="dxa" w:w="1728"/>
          </w:tcPr>
          <w:p>
            <w:r>
              <w:rPr>
                <w:rFonts w:ascii="Calibri" w:hAnsi="Calibri"/>
                <w:sz w:val="22"/>
              </w:rPr>
              <w:t>CFO expressed "even more confident on a Free Cash Flow basis" vs. EBITDA; working capital tailwinds expected to unwind in remaining quarters.</w:t>
            </w:r>
          </w:p>
        </w:tc>
      </w:tr>
      <w:tr>
        <w:tc>
          <w:tcPr>
            <w:tcW w:type="dxa" w:w="1728"/>
          </w:tcPr>
          <w:p>
            <w:r>
              <w:rPr>
                <w:rFonts w:ascii="Calibri" w:hAnsi="Calibri"/>
                <w:sz w:val="22"/>
              </w:rPr>
              <w:t>FY 2026 Adjusted EPS</w:t>
            </w:r>
          </w:p>
        </w:tc>
        <w:tc>
          <w:tcPr>
            <w:tcW w:type="dxa" w:w="1728"/>
          </w:tcPr>
          <w:p>
            <w:r>
              <w:rPr>
                <w:rFonts w:ascii="Calibri" w:hAnsi="Calibri"/>
                <w:sz w:val="22"/>
              </w:rPr>
              <w:t>$7.90–$9.90 (mid: $8.90)</w:t>
            </w:r>
          </w:p>
        </w:tc>
        <w:tc>
          <w:tcPr>
            <w:tcW w:type="dxa" w:w="1728"/>
          </w:tcPr>
          <w:p>
            <w:r>
              <w:rPr>
                <w:rFonts w:ascii="Calibri" w:hAnsi="Calibri"/>
                <w:sz w:val="22"/>
              </w:rPr>
              <w:t>—</w:t>
            </w:r>
          </w:p>
        </w:tc>
        <w:tc>
          <w:tcPr>
            <w:tcW w:type="dxa" w:w="1728"/>
          </w:tcPr>
          <w:p>
            <w:r>
              <w:rPr>
                <w:rFonts w:ascii="Calibri" w:hAnsi="Calibri"/>
                <w:sz w:val="22"/>
              </w:rPr>
              <w:t>$9.01</w:t>
            </w:r>
          </w:p>
        </w:tc>
        <w:tc>
          <w:tcPr>
            <w:tcW w:type="dxa" w:w="1728"/>
          </w:tcPr>
          <w:p>
            <w:r>
              <w:rPr>
                <w:rFonts w:ascii="Calibri" w:hAnsi="Calibri"/>
                <w:sz w:val="22"/>
              </w:rPr>
              <w:t>Reaffirmed; consensus sits just above midpoint. Higher D&amp;A and interest from LS Power acquisition are known headwinds.</w:t>
            </w:r>
          </w:p>
        </w:tc>
      </w:tr>
      <w:tr>
        <w:tc>
          <w:tcPr>
            <w:tcW w:type="dxa" w:w="1728"/>
          </w:tcPr>
          <w:p>
            <w:r>
              <w:rPr>
                <w:rFonts w:ascii="Calibri" w:hAnsi="Calibri"/>
                <w:sz w:val="22"/>
              </w:rPr>
              <w:t>Capital Return (FY 2026)</w:t>
            </w:r>
          </w:p>
        </w:tc>
        <w:tc>
          <w:tcPr>
            <w:tcW w:type="dxa" w:w="1728"/>
          </w:tcPr>
          <w:p>
            <w:r>
              <w:rPr>
                <w:rFonts w:ascii="Calibri" w:hAnsi="Calibri"/>
                <w:sz w:val="22"/>
              </w:rPr>
              <w:t>At least $1.4B (buybacks + dividends); $1B debt repayment; $310M growth investments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$817M in buybacks completed through April 30, 2026 (incl. LS Power negotiated repurchase). On track.</w:t>
            </w:r>
          </w:p>
        </w:tc>
      </w:tr>
      <w:tr>
        <w:tc>
          <w:tcPr>
            <w:tcW w:type="dxa" w:w="1728"/>
          </w:tcPr>
          <w:p>
            <w:r>
              <w:rPr>
                <w:rFonts w:ascii="Calibri" w:hAnsi="Calibri"/>
                <w:sz w:val="22"/>
              </w:rPr>
              <w:t>Long-Term EPS/FCF Growth</w:t>
            </w:r>
          </w:p>
        </w:tc>
        <w:tc>
          <w:tcPr>
            <w:tcW w:type="dxa" w:w="1728"/>
          </w:tcPr>
          <w:p>
            <w:r>
              <w:rPr>
                <w:rFonts w:ascii="Calibri" w:hAnsi="Calibri"/>
                <w:sz w:val="22"/>
              </w:rPr>
              <w:t>At least 14% annual Adj. EPS and FCF/share growth over 5 years (excl. large load / new development)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by new CEO Gaudette; data center deals and new development remain upside to base plan.</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Adjusted EBITDA have drifted slightly lower since the Q1 print (from ~$1.23B to ~$1.19B, -3.3%), while FY 2026 EBITDA consensus has been broadly stable, suggesting the Street has modestly de-risked the near-term bar without abandoning the full-year thesis — a slight cushion heading into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~May 13,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EBITDA — Q2 2026</w:t>
            </w:r>
          </w:p>
        </w:tc>
        <w:tc>
          <w:tcPr>
            <w:tcW w:type="dxa" w:w="1080"/>
          </w:tcPr>
          <w:p>
            <w:r>
              <w:rPr>
                <w:rFonts w:ascii="Calibri" w:hAnsi="Calibri"/>
                <w:sz w:val="22"/>
              </w:rPr>
              <w:t>$1,232M</w:t>
            </w:r>
          </w:p>
        </w:tc>
        <w:tc>
          <w:tcPr>
            <w:tcW w:type="dxa" w:w="1080"/>
          </w:tcPr>
          <w:p>
            <w:r>
              <w:rPr>
                <w:rFonts w:ascii="Calibri" w:hAnsi="Calibri"/>
                <w:sz w:val="22"/>
              </w:rPr>
              <w:t>$1,191M</w:t>
            </w:r>
          </w:p>
        </w:tc>
        <w:tc>
          <w:tcPr>
            <w:tcW w:type="dxa" w:w="1080"/>
          </w:tcPr>
          <w:p>
            <w:r>
              <w:rPr>
                <w:rFonts w:ascii="Calibri" w:hAnsi="Calibri"/>
                <w:sz w:val="22"/>
              </w:rPr>
              <w:t>-3.3%</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$5,432M</w:t>
            </w:r>
          </w:p>
        </w:tc>
        <w:tc>
          <w:tcPr>
            <w:tcW w:type="dxa" w:w="1080"/>
          </w:tcPr>
          <w:p>
            <w:r>
              <w:rPr>
                <w:rFonts w:ascii="Calibri" w:hAnsi="Calibri"/>
                <w:sz w:val="22"/>
              </w:rPr>
              <w:t>$5,506M</w:t>
            </w:r>
          </w:p>
        </w:tc>
        <w:tc>
          <w:tcPr>
            <w:tcW w:type="dxa" w:w="1080"/>
          </w:tcPr>
          <w:p>
            <w:r>
              <w:rPr>
                <w:rFonts w:ascii="Calibri" w:hAnsi="Calibri"/>
                <w:sz w:val="22"/>
              </w:rPr>
              <w:t>+1.4%</w:t>
            </w:r>
          </w:p>
        </w:tc>
        <w:tc>
          <w:tcPr>
            <w:tcW w:type="dxa" w:w="1080"/>
          </w:tcPr>
          <w:p>
            <w:r>
              <w:rPr>
                <w:rFonts w:ascii="Calibri" w:hAnsi="Calibri"/>
                <w:sz w:val="22"/>
              </w:rPr>
              <w:t>$5,250–$5,750M (mid: $5,500M)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mid</w:t>
            </w:r>
          </w:p>
        </w:tc>
      </w:tr>
      <w:tr>
        <w:tc>
          <w:tcPr>
            <w:tcW w:type="dxa" w:w="1080"/>
          </w:tcPr>
          <w:p>
            <w:r>
              <w:rPr>
                <w:rFonts w:ascii="Calibri" w:hAnsi="Calibri"/>
                <w:sz w:val="22"/>
              </w:rPr>
              <w:t>Operating EPS — Q2 2026</w:t>
            </w:r>
          </w:p>
        </w:tc>
        <w:tc>
          <w:tcPr>
            <w:tcW w:type="dxa" w:w="1080"/>
          </w:tcPr>
          <w:p>
            <w:r>
              <w:rPr>
                <w:rFonts w:ascii="Calibri" w:hAnsi="Calibri"/>
                <w:sz w:val="22"/>
              </w:rPr>
              <w:t>$1.62</w:t>
            </w:r>
          </w:p>
        </w:tc>
        <w:tc>
          <w:tcPr>
            <w:tcW w:type="dxa" w:w="1080"/>
          </w:tcPr>
          <w:p>
            <w:r>
              <w:rPr>
                <w:rFonts w:ascii="Calibri" w:hAnsi="Calibri"/>
                <w:sz w:val="22"/>
              </w:rPr>
              <w:t>$1.66</w:t>
            </w:r>
          </w:p>
        </w:tc>
        <w:tc>
          <w:tcPr>
            <w:tcW w:type="dxa" w:w="1080"/>
          </w:tcPr>
          <w:p>
            <w:r>
              <w:rPr>
                <w:rFonts w:ascii="Calibri" w:hAnsi="Calibri"/>
                <w:sz w:val="22"/>
              </w:rPr>
              <w:t>+2.5%</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$8.76</w:t>
            </w:r>
          </w:p>
        </w:tc>
        <w:tc>
          <w:tcPr>
            <w:tcW w:type="dxa" w:w="1080"/>
          </w:tcPr>
          <w:p>
            <w:r>
              <w:rPr>
                <w:rFonts w:ascii="Calibri" w:hAnsi="Calibri"/>
                <w:sz w:val="22"/>
              </w:rPr>
              <w:t>$9.01</w:t>
            </w:r>
          </w:p>
        </w:tc>
        <w:tc>
          <w:tcPr>
            <w:tcW w:type="dxa" w:w="1080"/>
          </w:tcPr>
          <w:p>
            <w:r>
              <w:rPr>
                <w:rFonts w:ascii="Calibri" w:hAnsi="Calibri"/>
                <w:sz w:val="22"/>
              </w:rPr>
              <w:t>+2.9%</w:t>
            </w:r>
          </w:p>
        </w:tc>
        <w:tc>
          <w:tcPr>
            <w:tcW w:type="dxa" w:w="1080"/>
          </w:tcPr>
          <w:p>
            <w:r>
              <w:rPr>
                <w:rFonts w:ascii="Calibri" w:hAnsi="Calibri"/>
                <w:sz w:val="22"/>
              </w:rPr>
              <w:t>$7.90–$9.90 (mid: $8.90)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above mid</w:t>
            </w:r>
          </w:p>
        </w:tc>
      </w:tr>
      <w:tr>
        <w:tc>
          <w:tcPr>
            <w:tcW w:type="dxa" w:w="1080"/>
          </w:tcPr>
          <w:p>
            <w:r>
              <w:rPr>
                <w:rFonts w:ascii="Calibri" w:hAnsi="Calibri"/>
                <w:sz w:val="22"/>
              </w:rPr>
              <w:t>Total Revenue — Q2 2026</w:t>
            </w:r>
          </w:p>
        </w:tc>
        <w:tc>
          <w:tcPr>
            <w:tcW w:type="dxa" w:w="1080"/>
          </w:tcPr>
          <w:p>
            <w:r>
              <w:rPr>
                <w:rFonts w:ascii="Calibri" w:hAnsi="Calibri"/>
                <w:sz w:val="22"/>
              </w:rPr>
              <w:t>$7,409M</w:t>
            </w:r>
          </w:p>
        </w:tc>
        <w:tc>
          <w:tcPr>
            <w:tcW w:type="dxa" w:w="1080"/>
          </w:tcPr>
          <w:p>
            <w:r>
              <w:rPr>
                <w:rFonts w:ascii="Calibri" w:hAnsi="Calibri"/>
                <w:sz w:val="22"/>
              </w:rPr>
              <w:t>$7,588M</w:t>
            </w:r>
          </w:p>
        </w:tc>
        <w:tc>
          <w:tcPr>
            <w:tcW w:type="dxa" w:w="1080"/>
          </w:tcPr>
          <w:p>
            <w:r>
              <w:rPr>
                <w:rFonts w:ascii="Calibri" w:hAnsi="Calibri"/>
                <w:sz w:val="22"/>
              </w:rPr>
              <w:t>+2.4%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Consensus and Actuals Data. Post-Q1 baseline uses consensus as of May 13, 2026 (~5 trading days after the May 6, 2026 earnings release). The modest downward revision to Q2 EBITDA estimates (-3.3%) reflects the Street trimming near-term expectations after the Q1 weather miss, while FY 2026 estimates have actually ticked up slightly (+1.4%), consistent with management’s reaffirmation and the market’s view that Q1 was a one-time weather event. Consensus sits essentially at the FY guidance midpoint for both EBITDA and EPS, implying no embedded cushion or stretch in the full-year bar.</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NRG has significantly underperformed both XLU and the S&amp;P 500 since the Q1 2026 earnings date, declining ~8% vs. XLU -3% and SPY +3%, driven by the EPS miss and multiple compression — the de-rating creates a lower-risk entry point heading into Q2 results.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NRG vs. XLU vs. S&amp;P 500 — Indexed to 100 at May 6, 2026 (Q1 2026 Earnings Date). Source: Stock Price Data.</w:t>
      </w:r>
    </w:p>
    <w:p>
      <w:r>
        <w:rPr>
          <w:rFonts w:ascii="Calibri" w:hAnsi="Calibri"/>
          <w:color w:val="525866"/>
          <w:sz w:val="22"/>
        </w:rPr>
        <w:t>NRG opened the post-Q1 period at $150.64 on May 6, 2026 and has since declined to $138.47 as of August 4, 2026 — a loss of ~8.1% — while XLU fell ~3.0% and the S&amp;P 500 gained ~3.2% over the same period. The underperformance is attributable to three factors: (1) the Q1 EPS miss of ~14% below consensus, driven by weather and partial-quarter LS Power contribution, which reset near-term expectations; (2) a sharp mid-June selloff (stock touched ~$120 intraday) coinciding with broader sector rotation and concerns about ERCOT forward power prices softening; and (3) the absence of a data center deal announcement, which the market had been anticipating. The stock recovered meaningfully in late June and early July (reaching ~$149 on June 26) before pulling back again in late July, likely on sector-wide pressure. The current level of ~$138 implies the stock is trading at a meaningful discount to the consensus analyst price target of ~$197–$202, suggesting the market is pricing in execution risk on the data center thesis rather than the base business. The XLU ETF was used as the sector benchmark, appropriate for NRG’s power generation and retail energy sub-sector.</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NRG clearing 6,839 MW in the PJM 2028–2029 capacity auction at $325/MW-day — a significant revenue visibility event that validates the LS Power acquisition thesis and provides a concrete earnings tailwind for 2028–2029.</w:t>
      </w:r>
    </w:p>
    <w:p>
      <w:pPr>
        <w:pStyle w:val="ListBullet"/>
        <w:ind w:left="360" w:hanging="360"/>
      </w:pPr>
      <w:r>
        <w:rPr>
          <w:rFonts w:ascii="Calibri" w:hAnsi="Calibri"/>
          <w:b/>
          <w:color w:val="525866"/>
          <w:sz w:val="22"/>
        </w:rPr>
        <w:t>[July 14, 2026] PJM Capacity Auction Clear — 6,839 MW at $325/MW-day (2028–2029 Delivery Year).</w:t>
      </w:r>
      <w:r>
        <w:rPr>
          <w:rFonts w:ascii="Calibri" w:hAnsi="Calibri"/>
          <w:color w:val="525866"/>
          <w:sz w:val="22"/>
        </w:rPr>
        <w:t xml:space="preserve"> NRG cleared 6,839 MW in the PJM capacity auction for the 2028–2029 delivery year at an average clearing price of $325/MW-day. This is a material revenue visibility event: at $325/MW-day × 6,839 MW × 365 days, this implies ~$812M in annual capacity revenue for 2028–2029. The result validates the strategic rationale for the LS Power acquisition (which added significant PJM generation capacity) and is consistent with the broader PJM capacity scarcity narrative confirmed by peers (Exelon noted the auction cleared at the FERC-approved price cap for the third consecutive year). Source: NRG 8-K filed July 15, 2026.</w:t>
      </w:r>
    </w:p>
    <w:p>
      <w:pPr>
        <w:pStyle w:val="ListBullet"/>
        <w:ind w:left="360" w:hanging="360"/>
      </w:pPr>
      <w:r>
        <w:rPr>
          <w:rFonts w:ascii="Calibri" w:hAnsi="Calibri"/>
          <w:b/>
          <w:color w:val="525866"/>
          <w:sz w:val="22"/>
        </w:rPr>
        <w:t>[July 7, 2026] Q2 2026 Earnings Date Announced.</w:t>
      </w:r>
      <w:r>
        <w:rPr>
          <w:rFonts w:ascii="Calibri" w:hAnsi="Calibri"/>
          <w:color w:val="525866"/>
          <w:sz w:val="22"/>
        </w:rPr>
        <w:t xml:space="preserve"> NRG confirmed it will report Q2 2026 results on August 4, 2026. No pre-announcement or guidance update was included, consistent with management’s reaffirmation posture.</w:t>
      </w:r>
    </w:p>
    <w:p>
      <w:pPr>
        <w:pStyle w:val="ListBullet"/>
        <w:ind w:left="360" w:hanging="360"/>
      </w:pPr>
      <w:r>
        <w:rPr>
          <w:rFonts w:ascii="Calibri" w:hAnsi="Calibri"/>
          <w:b/>
          <w:color w:val="525866"/>
          <w:sz w:val="22"/>
        </w:rPr>
        <w:t>[April 28, 2026] $3.5B Refinancing Closed.</w:t>
      </w:r>
      <w:r>
        <w:rPr>
          <w:rFonts w:ascii="Calibri" w:hAnsi="Calibri"/>
          <w:color w:val="525866"/>
          <w:sz w:val="22"/>
        </w:rPr>
        <w:t xml:space="preserve"> NRG closed $3.5B of new financing post-quarter-end, retiring $1.5B in Lightning senior secured notes and reducing revolver borrowings. This removes the ring-fencing from the LS Power acquisition close and is expected to generate &gt;$10M in annual net interest savings. A key deleveraging milestone consistent with the 3x net leverage target.</w:t>
      </w:r>
    </w:p>
    <w:p>
      <w:pPr>
        <w:pStyle w:val="ListBullet"/>
        <w:ind w:left="360" w:hanging="360"/>
      </w:pPr>
      <w:r>
        <w:rPr>
          <w:rFonts w:ascii="Calibri" w:hAnsi="Calibri"/>
          <w:b/>
          <w:color w:val="525866"/>
          <w:sz w:val="22"/>
        </w:rPr>
        <w:t>[April 30, 2026] CEO Transition Effective.</w:t>
      </w:r>
      <w:r>
        <w:rPr>
          <w:rFonts w:ascii="Calibri" w:hAnsi="Calibri"/>
          <w:color w:val="525866"/>
          <w:sz w:val="22"/>
        </w:rPr>
        <w:t xml:space="preserve"> Robert Gaudette (25-year NRG veteran) succeeded Lawrence Coben as President and CEO. Gaudette has emphasized contracted cash flows, duration of revenue streams, and potential to partner with regulated entities as strategic priorities — continuity with prior strategy but with a broader addressable market framing.</w:t>
      </w:r>
    </w:p>
    <w:p>
      <w:pPr>
        <w:pStyle w:val="ListBullet"/>
        <w:ind w:left="360" w:hanging="360"/>
      </w:pPr>
      <w:r>
        <w:rPr>
          <w:rFonts w:ascii="Calibri" w:hAnsi="Calibri"/>
          <w:b/>
          <w:color w:val="525866"/>
          <w:sz w:val="22"/>
        </w:rPr>
        <w:t>[May 2026] T.H. Wharton TEF Project Online.</w:t>
      </w:r>
      <w:r>
        <w:rPr>
          <w:rFonts w:ascii="Calibri" w:hAnsi="Calibri"/>
          <w:color w:val="525866"/>
          <w:sz w:val="22"/>
        </w:rPr>
        <w:t xml:space="preserve"> NRG’s first Texas Energy Fund project (T.H. Wharton) came online in May, on time, on cost, and on spec, qualifying for the TEF Completion Bonus. This is the first of three TEF projects (1.5 GW total) and demonstrates NRG’s ability to execute on new capacity development.</w:t>
      </w:r>
    </w:p>
    <w:p>
      <w:pPr>
        <w:pStyle w:val="ListBullet"/>
        <w:ind w:left="360" w:hanging="360"/>
      </w:pPr>
      <w:r>
        <w:rPr>
          <w:rFonts w:ascii="Calibri" w:hAnsi="Calibri"/>
          <w:b/>
          <w:color w:val="525866"/>
          <w:sz w:val="22"/>
        </w:rPr>
        <w:t>[Ongoing] Data Center Deal Discussions.</w:t>
      </w:r>
      <w:r>
        <w:rPr>
          <w:rFonts w:ascii="Calibri" w:hAnsi="Calibri"/>
          <w:color w:val="525866"/>
          <w:sz w:val="22"/>
        </w:rPr>
        <w:t xml:space="preserve"> Management described discussions as "active and progressing" on the Q1 call, with CEO Gaudette expressing "a high level of confidence" and stating "to hit '29, we've got to get something done in '26." No deal has been announced as of the preparation date. Any announcement alongside Q2 results would be a significant positive catalyst.</w:t>
      </w:r>
    </w:p>
    <w:p>
      <w:pPr>
        <w:pStyle w:val="ListBullet"/>
        <w:ind w:left="360" w:hanging="360"/>
      </w:pPr>
      <w:r>
        <w:rPr>
          <w:rFonts w:ascii="Calibri" w:hAnsi="Calibri"/>
          <w:b/>
          <w:color w:val="525866"/>
          <w:sz w:val="22"/>
        </w:rPr>
        <w:t>[Ongoing] Analyst Rating Activity.</w:t>
      </w:r>
      <w:r>
        <w:rPr>
          <w:rFonts w:ascii="Calibri" w:hAnsi="Calibri"/>
          <w:color w:val="525866"/>
          <w:sz w:val="22"/>
        </w:rPr>
        <w:t xml:space="preserve"> Wells Fargo raised its price target from $203 to $209 (Overweight, July 16); Scotiabank raised from $223 to $226 (Sector Outperform, July 15); Morgan Stanley lowered from $157 to $154 (Equal-Weight); Barclays lowered from $203 to $200 (Overweight). Consensus remains "Moderate Buy" with an average price target of ~$197–$202, implying ~43% upside from current levels. Siebert Williams Shank initiated coverage at Buy with a $184 target (June 24).</w:t>
      </w:r>
    </w:p>
    <w:p>
      <w:r>
        <w:br w:type="page"/>
      </w:r>
    </w:p>
    <w:p>
      <w:pPr>
        <w:pStyle w:val="Heading1"/>
        <w:pBdr>
          <w:bottom w:val="single" w:sz="4" w:space="1" w:color="FB9120"/>
        </w:pBdr>
      </w:pPr>
      <w:r>
        <w:rPr>
          <w:rFonts w:ascii="Calibri" w:hAnsi="Calibri"/>
          <w:b/>
          <w:color w:val="3B4259"/>
          <w:sz w:val="40"/>
        </w:rPr>
        <w:t>7. Peer Commentaries — Q2 2026 Read-Throughs</w:t>
      </w:r>
    </w:p>
    <w:p>
      <w:r>
        <w:rPr>
          <w:rFonts w:ascii="Calibri" w:hAnsi="Calibri"/>
          <w:b/>
          <w:color w:val="525866"/>
          <w:sz w:val="22"/>
        </w:rPr>
        <w:t xml:space="preserve">Key Takeaway: </w:t>
      </w:r>
      <w:r>
        <w:rPr>
          <w:rFonts w:ascii="Calibri" w:hAnsi="Calibri"/>
          <w:color w:val="525866"/>
          <w:sz w:val="22"/>
        </w:rPr>
        <w:t>Q2 2026 peer earnings calls from Vistra (Q1 post-earnings forward commentary), Exelon, NextEra, Entergy, Southern Company, and Dominion collectively confirm a strong summer demand environment in ERCOT and PJM, accelerating data center load growth, and tightening capacity markets — all constructive read-throughs for NRG’s Q2 results and data center deal pipeline.</w:t>
      </w:r>
    </w:p>
    <w:p>
      <w:r>
        <w:rPr>
          <w:rFonts w:ascii="Calibri" w:hAnsi="Calibri"/>
          <w:i/>
          <w:color w:val="525866"/>
          <w:sz w:val="22"/>
        </w:rPr>
        <w:t>Note: Only commentary from Q2 2026 earnings calls (reported July 2026) and forward-looking commentary from Q1 2026 calls (May 2026) about Q2 2026 conditions are included below. Q1 2026 results commentary about Q1 itself is excluded.</w:t>
      </w:r>
    </w:p>
    <w:p>
      <w:pPr>
        <w:pStyle w:val="Heading2"/>
      </w:pPr>
      <w:r>
        <w:rPr>
          <w:rFonts w:ascii="Calibri" w:hAnsi="Calibri"/>
          <w:b/>
          <w:color w:val="3B4259"/>
          <w:sz w:val="28"/>
        </w:rPr>
        <w:t>Vistra (VST) — Q1 2026 Earnings Call (May 7, 2026) — Forward-Looking Commentary</w:t>
      </w:r>
    </w:p>
    <w:p>
      <w:pPr>
        <w:pStyle w:val="ListBullet"/>
        <w:ind w:left="360" w:hanging="360"/>
      </w:pPr>
      <w:r>
        <w:rPr>
          <w:rFonts w:ascii="Calibri" w:hAnsi="Calibri"/>
          <w:b/>
          <w:color w:val="525866"/>
          <w:sz w:val="22"/>
        </w:rPr>
        <w:t xml:space="preserve">ERCOT Summer Setup: </w:t>
      </w:r>
      <w:r>
        <w:rPr>
          <w:rFonts w:ascii="Calibri" w:hAnsi="Calibri"/>
          <w:color w:val="525866"/>
          <w:sz w:val="22"/>
        </w:rPr>
        <w:t>Vistra confirmed Q1 2026 was the second warmest first quarter in ERCOT since 1950, but noted that ERCOT forward prices responded materially to late-April heat and the release of ERCOT’s long-term load forecast: "You saw both summer and winter prices move up fairly materially." This is a direct positive read-through for NRG’s Q2 Texas generation and retail margins.</w:t>
      </w:r>
    </w:p>
    <w:p>
      <w:pPr>
        <w:pStyle w:val="ListBullet"/>
        <w:ind w:left="360" w:hanging="360"/>
      </w:pPr>
      <w:r>
        <w:rPr>
          <w:rFonts w:ascii="Calibri" w:hAnsi="Calibri"/>
          <w:b/>
          <w:color w:val="525866"/>
          <w:sz w:val="22"/>
        </w:rPr>
        <w:t xml:space="preserve">ERCOT Load Growth Conviction: </w:t>
      </w:r>
      <w:r>
        <w:rPr>
          <w:rFonts w:ascii="Calibri" w:hAnsi="Calibri"/>
          <w:color w:val="525866"/>
          <w:sz w:val="22"/>
        </w:rPr>
        <w:t>Vistra maintained its view of at least 5–6% annual load growth in ERCOT through 2030 and estimated 30–40 GW of total growth by 2030, with 10–15 GW from large data centers. This structural demand backdrop supports NRG’s Texas generation asset value and data center deal pricing power.</w:t>
      </w:r>
    </w:p>
    <w:p>
      <w:pPr>
        <w:pStyle w:val="ListBullet"/>
        <w:ind w:left="360" w:hanging="360"/>
      </w:pPr>
      <w:r>
        <w:rPr>
          <w:rFonts w:ascii="Calibri" w:hAnsi="Calibri"/>
          <w:b/>
          <w:color w:val="525866"/>
          <w:sz w:val="22"/>
        </w:rPr>
        <w:t xml:space="preserve">PJM Bilateral Contracts: </w:t>
      </w:r>
      <w:r>
        <w:rPr>
          <w:rFonts w:ascii="Calibri" w:hAnsi="Calibri"/>
          <w:color w:val="525866"/>
          <w:sz w:val="22"/>
        </w:rPr>
        <w:t>Vistra confirmed that large load customers in PJM "are willing to and are engaging in discussions about bilateral contracts even ahead of the rules for the backstop procurement being clarified" — a positive signal for NRG’s PJM data center deal pipeline, which management has described as the primary contracting pathway.</w:t>
      </w:r>
    </w:p>
    <w:p>
      <w:pPr>
        <w:pStyle w:val="ListBullet"/>
        <w:ind w:left="360" w:hanging="360"/>
      </w:pPr>
      <w:r>
        <w:rPr>
          <w:rFonts w:ascii="Calibri" w:hAnsi="Calibri"/>
          <w:b/>
          <w:color w:val="525866"/>
          <w:sz w:val="22"/>
        </w:rPr>
        <w:t xml:space="preserve">Battery Supply Overhang Fading: </w:t>
      </w:r>
      <w:r>
        <w:rPr>
          <w:rFonts w:ascii="Calibri" w:hAnsi="Calibri"/>
          <w:color w:val="525866"/>
          <w:sz w:val="22"/>
        </w:rPr>
        <w:t>Vistra noted that the influx of batteries over the last three years "have returned virtually nothing to their owners" and are expected to "shake out," reducing the supply-side dampener on ERCOT volatility. This is constructive for NRG’s Texas generation margins in Q2 and beyond.</w:t>
      </w:r>
    </w:p>
    <w:p>
      <w:pPr>
        <w:pStyle w:val="Heading2"/>
      </w:pPr>
      <w:r>
        <w:rPr>
          <w:rFonts w:ascii="Calibri" w:hAnsi="Calibri"/>
          <w:b/>
          <w:color w:val="3B4259"/>
          <w:sz w:val="28"/>
        </w:rPr>
        <w:t>Exelon (EXC) — Q2 2026 Earnings Call (July 30, 2026)</w:t>
      </w:r>
    </w:p>
    <w:p>
      <w:pPr>
        <w:pStyle w:val="ListBullet"/>
        <w:ind w:left="360" w:hanging="360"/>
      </w:pPr>
      <w:r>
        <w:rPr>
          <w:rFonts w:ascii="Calibri" w:hAnsi="Calibri"/>
          <w:b/>
          <w:color w:val="525866"/>
          <w:sz w:val="22"/>
        </w:rPr>
        <w:t xml:space="preserve">ERCOT Record Peak Demand: </w:t>
      </w:r>
      <w:r>
        <w:rPr>
          <w:rFonts w:ascii="Calibri" w:hAnsi="Calibri"/>
          <w:color w:val="525866"/>
          <w:sz w:val="22"/>
        </w:rPr>
        <w:t>Exelon noted that "earlier this month, ERCOT served a record peak demand of more than 91 GW" without emergency actions, while "power prices remained relatively stable at roughly $40 per megawatt hour during the peak hour." The stable pricing at peak is a nuanced read-through — it suggests ERCOT supply adequacy has improved (partly due to renewables and batteries), which could moderate NRG’s Texas generation upside in Q2 vs. prior high-volatility summers.</w:t>
      </w:r>
    </w:p>
    <w:p>
      <w:pPr>
        <w:pStyle w:val="ListBullet"/>
        <w:ind w:left="360" w:hanging="360"/>
      </w:pPr>
      <w:r>
        <w:rPr>
          <w:rFonts w:ascii="Calibri" w:hAnsi="Calibri"/>
          <w:b/>
          <w:color w:val="525866"/>
          <w:sz w:val="22"/>
        </w:rPr>
        <w:t xml:space="preserve">PJM Capacity Scarcity Deepening: </w:t>
      </w:r>
      <w:r>
        <w:rPr>
          <w:rFonts w:ascii="Calibri" w:hAnsi="Calibri"/>
          <w:color w:val="525866"/>
          <w:sz w:val="22"/>
        </w:rPr>
        <w:t>Exelon confirmed the PJM capacity auction cleared at the FERC-approved price cap ($330/MW-day) for the third consecutive auction, with the market falling short of PJM’s reliability requirement by ~6.8 GW. PJM’s own simulation showed prices would have cleared at ~$555/MW-day across the footprint absent the cap. This is a strong positive read-through for NRG’s PJM capacity revenues (including the 6,839 MW cleared in the 2028–2029 auction at $325/MW-day).</w:t>
      </w:r>
    </w:p>
    <w:p>
      <w:pPr>
        <w:pStyle w:val="ListBullet"/>
        <w:ind w:left="360" w:hanging="360"/>
      </w:pPr>
      <w:r>
        <w:rPr>
          <w:rFonts w:ascii="Calibri" w:hAnsi="Calibri"/>
          <w:b/>
          <w:color w:val="525866"/>
          <w:sz w:val="22"/>
        </w:rPr>
        <w:t xml:space="preserve">July Heat Event — PJM Price Spike: </w:t>
      </w:r>
      <w:r>
        <w:rPr>
          <w:rFonts w:ascii="Calibri" w:hAnsi="Calibri"/>
          <w:color w:val="525866"/>
          <w:sz w:val="22"/>
        </w:rPr>
        <w:t>Exelon noted that during a July heat event, PJM power prices "surged tenfold from roughly $80 to $800 per megawatt hour" and PJM hit a record peak of 168 GW, activating emergency procedures. This is a direct positive read-through for NRG’s Q2 East segment generation margins.</w:t>
      </w:r>
    </w:p>
    <w:p>
      <w:pPr>
        <w:pStyle w:val="ListBullet"/>
        <w:ind w:left="360" w:hanging="360"/>
      </w:pPr>
      <w:r>
        <w:rPr>
          <w:rFonts w:ascii="Calibri" w:hAnsi="Calibri"/>
          <w:b/>
          <w:color w:val="525866"/>
          <w:sz w:val="22"/>
        </w:rPr>
        <w:t xml:space="preserve">Data Center Queue Refinement: </w:t>
      </w:r>
      <w:r>
        <w:rPr>
          <w:rFonts w:ascii="Calibri" w:hAnsi="Calibri"/>
          <w:color w:val="525866"/>
          <w:sz w:val="22"/>
        </w:rPr>
        <w:t>Exelon’s data center growth slide was revised down from 43 GW to 36 GW, reflecting the weeding out of speculative projects via transmission security agreements (TSAs) requiring $1B of collateral behind 4 GW of signed projects. This is a read-through for the broader data center contracting discipline — real projects with committed collateral are advancing, which supports NRG’s front-of-meter strategy.</w:t>
      </w:r>
    </w:p>
    <w:p>
      <w:pPr>
        <w:pStyle w:val="Heading2"/>
      </w:pPr>
      <w:r>
        <w:rPr>
          <w:rFonts w:ascii="Calibri" w:hAnsi="Calibri"/>
          <w:b/>
          <w:color w:val="3B4259"/>
          <w:sz w:val="28"/>
        </w:rPr>
        <w:t>NextEra Energy (NEE) — Q2 2026 Earnings Call (July 24, 2026)</w:t>
      </w:r>
    </w:p>
    <w:p>
      <w:pPr>
        <w:pStyle w:val="ListBullet"/>
        <w:ind w:left="360" w:hanging="360"/>
      </w:pPr>
      <w:r>
        <w:rPr>
          <w:rFonts w:ascii="Calibri" w:hAnsi="Calibri"/>
          <w:b/>
          <w:color w:val="525866"/>
          <w:sz w:val="22"/>
        </w:rPr>
        <w:t xml:space="preserve">Hyperscaler Demand Accelerating: </w:t>
      </w:r>
      <w:r>
        <w:rPr>
          <w:rFonts w:ascii="Calibri" w:hAnsi="Calibri"/>
          <w:color w:val="525866"/>
          <w:sz w:val="22"/>
        </w:rPr>
        <w:t>NextEra confirmed "very strong interest from hyperscalers and other large load customers" and noted that recontracting of existing projects is being priced "at a premium of roughly $20 per megawatt hour above recent realized pricing" with ~15-year average contract terms. This validates NRG’s pricing power narrative for data center deals and supports the $90–$95+/MWh pricing range management has discussed.</w:t>
      </w:r>
    </w:p>
    <w:p>
      <w:pPr>
        <w:pStyle w:val="ListBullet"/>
        <w:ind w:left="360" w:hanging="360"/>
      </w:pPr>
      <w:r>
        <w:rPr>
          <w:rFonts w:ascii="Calibri" w:hAnsi="Calibri"/>
          <w:b/>
          <w:color w:val="525866"/>
          <w:sz w:val="22"/>
        </w:rPr>
        <w:t xml:space="preserve">BYOG Strategy Resonating: </w:t>
      </w:r>
      <w:r>
        <w:rPr>
          <w:rFonts w:ascii="Calibri" w:hAnsi="Calibri"/>
          <w:color w:val="525866"/>
          <w:sz w:val="22"/>
        </w:rPr>
        <w:t>NextEra described its "Bring Your Own Generation" approach as resonating with hyperscalers and noted it has "a definite first mover advantage." NRG’s own BYOP (Bring Your Own Power) framework is directly analogous — the market validation from NEE is a positive read-through for NRG’s deal pipeline.</w:t>
      </w:r>
    </w:p>
    <w:p>
      <w:pPr>
        <w:pStyle w:val="ListBullet"/>
        <w:ind w:left="360" w:hanging="360"/>
      </w:pPr>
      <w:r>
        <w:rPr>
          <w:rFonts w:ascii="Calibri" w:hAnsi="Calibri"/>
          <w:b/>
          <w:color w:val="525866"/>
          <w:sz w:val="22"/>
        </w:rPr>
        <w:t xml:space="preserve">Power Demand vs. Supply Gap: </w:t>
      </w:r>
      <w:r>
        <w:rPr>
          <w:rFonts w:ascii="Calibri" w:hAnsi="Calibri"/>
          <w:color w:val="525866"/>
          <w:sz w:val="22"/>
        </w:rPr>
        <w:t>NextEra stated plainly that "supply is not matching demand today, which is resulting in higher pricing across the board" and that its adjusted EBITDA at Energy Resources is "roughly $4 billion higher in 2032 than previously forecasted." This structural demand-supply imbalance is the core thesis supporting NRG’s generation asset value and data center deal economics.</w:t>
      </w:r>
    </w:p>
    <w:p>
      <w:pPr>
        <w:pStyle w:val="ListBullet"/>
        <w:ind w:left="360" w:hanging="360"/>
      </w:pPr>
      <w:r>
        <w:rPr>
          <w:rFonts w:ascii="Calibri" w:hAnsi="Calibri"/>
          <w:b/>
          <w:color w:val="525866"/>
          <w:sz w:val="22"/>
        </w:rPr>
        <w:t xml:space="preserve">FERC Section 206 Show Cause Orders: </w:t>
      </w:r>
      <w:r>
        <w:rPr>
          <w:rFonts w:ascii="Calibri" w:hAnsi="Calibri"/>
          <w:color w:val="525866"/>
          <w:sz w:val="22"/>
        </w:rPr>
        <w:t>NextEra highlighted that FERC’s Section 206 show cause orders (announced June 2026) "will create yet another market shift and generate strong demand for the ability to match load with generation." This regulatory development is relevant to NRG’s PJM data center contracting strategy and could accelerate deal timelines.</w:t>
      </w:r>
    </w:p>
    <w:p>
      <w:pPr>
        <w:pStyle w:val="Heading2"/>
      </w:pPr>
      <w:r>
        <w:rPr>
          <w:rFonts w:ascii="Calibri" w:hAnsi="Calibri"/>
          <w:b/>
          <w:color w:val="3B4259"/>
          <w:sz w:val="28"/>
        </w:rPr>
        <w:t>Entergy (ETR) — Q2 2026 Earnings Call (July 29, 2026)</w:t>
      </w:r>
    </w:p>
    <w:p>
      <w:pPr>
        <w:pStyle w:val="ListBullet"/>
        <w:ind w:left="360" w:hanging="360"/>
      </w:pPr>
      <w:r>
        <w:rPr>
          <w:rFonts w:ascii="Calibri" w:hAnsi="Calibri"/>
          <w:b/>
          <w:color w:val="525866"/>
          <w:sz w:val="22"/>
        </w:rPr>
        <w:t xml:space="preserve">Data Center Pipeline Growing: </w:t>
      </w:r>
      <w:r>
        <w:rPr>
          <w:rFonts w:ascii="Calibri" w:hAnsi="Calibri"/>
          <w:color w:val="525866"/>
          <w:sz w:val="22"/>
        </w:rPr>
        <w:t>Entergy reported a pipeline of 7–12 GW of hyperscale data center potential plus 3–5 GW of traditional industrial interest, with the "actual queue size much, much greater" than the probability-weighted figures. Interest has continued to grow since Investor Day. While Entergy is a regulated utility (not a direct NRG comp), the pipeline growth confirms the structural demand backdrop that supports NRG’s large load deal discussions.</w:t>
      </w:r>
    </w:p>
    <w:p>
      <w:pPr>
        <w:pStyle w:val="ListBullet"/>
        <w:ind w:left="360" w:hanging="360"/>
      </w:pPr>
      <w:r>
        <w:rPr>
          <w:rFonts w:ascii="Calibri" w:hAnsi="Calibri"/>
          <w:b/>
          <w:color w:val="525866"/>
          <w:sz w:val="22"/>
        </w:rPr>
        <w:t xml:space="preserve">Weather Near Normal in Q2: </w:t>
      </w:r>
      <w:r>
        <w:rPr>
          <w:rFonts w:ascii="Calibri" w:hAnsi="Calibri"/>
          <w:color w:val="525866"/>
          <w:sz w:val="22"/>
        </w:rPr>
        <w:t>Entergy noted its Q2 adjusted EPS was "slightly lower than last year as weather was close to normal compared to warmer weather in 2025." This is a mild negative read-through for NRG’s Texas retail volumes in Q2, though NRG’s generation book (which benefits from heat-driven price spikes) is a more important driver than retail volumes in summer.</w:t>
      </w:r>
    </w:p>
    <w:p>
      <w:pPr>
        <w:pStyle w:val="ListBullet"/>
        <w:ind w:left="360" w:hanging="360"/>
      </w:pPr>
      <w:r>
        <w:rPr>
          <w:rFonts w:ascii="Calibri" w:hAnsi="Calibri"/>
          <w:b/>
          <w:color w:val="525866"/>
          <w:sz w:val="22"/>
        </w:rPr>
        <w:t xml:space="preserve">Louisiana Governor Executive Order on Data Centers: </w:t>
      </w:r>
      <w:r>
        <w:rPr>
          <w:rFonts w:ascii="Calibri" w:hAnsi="Calibri"/>
          <w:color w:val="525866"/>
          <w:sz w:val="22"/>
        </w:rPr>
        <w:t>Louisiana Governor Landry signed an executive order requiring new data centers to provide customer benefits, invest in grid resilience, and maintain transparency — consistent with Entergy’s "Fair Share Plus" pledge. This regulatory trend of requiring data centers to pay their fair share is constructive for NRG’s front-of-meter contracting approach.</w:t>
      </w:r>
    </w:p>
    <w:p>
      <w:pPr>
        <w:pStyle w:val="Heading2"/>
      </w:pPr>
      <w:r>
        <w:rPr>
          <w:rFonts w:ascii="Calibri" w:hAnsi="Calibri"/>
          <w:b/>
          <w:color w:val="3B4259"/>
          <w:sz w:val="28"/>
        </w:rPr>
        <w:t>Southern Company (SO) — Q2 2026 Earnings Call (July 30, 2026)</w:t>
      </w:r>
    </w:p>
    <w:p>
      <w:pPr>
        <w:pStyle w:val="ListBullet"/>
        <w:ind w:left="360" w:hanging="360"/>
      </w:pPr>
      <w:r>
        <w:rPr>
          <w:rFonts w:ascii="Calibri" w:hAnsi="Calibri"/>
          <w:b/>
          <w:color w:val="525866"/>
          <w:sz w:val="22"/>
        </w:rPr>
        <w:t xml:space="preserve">Record Data Center Load Growth: </w:t>
      </w:r>
      <w:r>
        <w:rPr>
          <w:rFonts w:ascii="Calibri" w:hAnsi="Calibri"/>
          <w:color w:val="525866"/>
          <w:sz w:val="22"/>
        </w:rPr>
        <w:t>Southern Company reported that data center usage was "55% higher compared to Q2 2025 and is now up 49% year to date," with system-wide data center load exceeding 1.2 GW (up &gt;500 MW YoY). The company signed 6 GW of newly contracted customer load in Q2 alone, including a 3.2 GW 25-year contract with OpenAI. This is the strongest confirmation of accelerating data center demand across any peer, validating NRG’s urgency to close deals in 2026.</w:t>
      </w:r>
    </w:p>
    <w:p>
      <w:pPr>
        <w:pStyle w:val="ListBullet"/>
        <w:ind w:left="360" w:hanging="360"/>
      </w:pPr>
      <w:r>
        <w:rPr>
          <w:rFonts w:ascii="Calibri" w:hAnsi="Calibri"/>
          <w:b/>
          <w:color w:val="525866"/>
          <w:sz w:val="22"/>
        </w:rPr>
        <w:t xml:space="preserve">Demand Response Innovation: </w:t>
      </w:r>
      <w:r>
        <w:rPr>
          <w:rFonts w:ascii="Calibri" w:hAnsi="Calibri"/>
          <w:color w:val="525866"/>
          <w:sz w:val="22"/>
        </w:rPr>
        <w:t>The OpenAI contract includes 1 GW of flexible demand response, allowing Southern to "shave the peak" during high demand periods. This is a read-through for NRG’s VPP strategy — the market is increasingly accepting demand response as a reliability solution, which enhances the value of NRG’s residential VPP (targeting 1 GW in ERCOT) and CPower C&amp;I demand response capabilities.</w:t>
      </w:r>
    </w:p>
    <w:p>
      <w:pPr>
        <w:pStyle w:val="ListBullet"/>
        <w:ind w:left="360" w:hanging="360"/>
      </w:pPr>
      <w:r>
        <w:rPr>
          <w:rFonts w:ascii="Calibri" w:hAnsi="Calibri"/>
          <w:b/>
          <w:color w:val="525866"/>
          <w:sz w:val="22"/>
        </w:rPr>
        <w:t xml:space="preserve">Prospective Pipeline Robust: </w:t>
      </w:r>
      <w:r>
        <w:rPr>
          <w:rFonts w:ascii="Calibri" w:hAnsi="Calibri"/>
          <w:color w:val="525866"/>
          <w:sz w:val="22"/>
        </w:rPr>
        <w:t>Southern’s prospective pipeline remains "well above 75 GW" with 8 GW in late stages and 3 GW expected to be finalized near-term. The scale of demand confirms that NRG’s data center deal discussions are occurring in a target-rich environment.</w:t>
      </w:r>
    </w:p>
    <w:p>
      <w:pPr>
        <w:pStyle w:val="Heading2"/>
      </w:pPr>
      <w:r>
        <w:rPr>
          <w:rFonts w:ascii="Calibri" w:hAnsi="Calibri"/>
          <w:b/>
          <w:color w:val="3B4259"/>
          <w:sz w:val="28"/>
        </w:rPr>
        <w:t>Dominion Energy (D) — Q2 2026 Earnings Call (July 31, 2026)</w:t>
      </w:r>
    </w:p>
    <w:p>
      <w:pPr>
        <w:pStyle w:val="ListBullet"/>
        <w:ind w:left="360" w:hanging="360"/>
      </w:pPr>
      <w:r>
        <w:rPr>
          <w:rFonts w:ascii="Calibri" w:hAnsi="Calibri"/>
          <w:b/>
          <w:color w:val="525866"/>
          <w:sz w:val="22"/>
        </w:rPr>
        <w:t xml:space="preserve">Record Summer Peak Demand in PJM: </w:t>
      </w:r>
      <w:r>
        <w:rPr>
          <w:rFonts w:ascii="Calibri" w:hAnsi="Calibri"/>
          <w:color w:val="525866"/>
          <w:sz w:val="22"/>
        </w:rPr>
        <w:t>Dominion reported that "nine of the Dom zone’s top ten all-time peak days have occurred this year, including the eight highest summer peak days, which have all occurred in the last two months." This is a direct positive read-through for NRG’s Q2 East segment generation margins, as NRG’s LS Power assets are concentrated in PJM.</w:t>
      </w:r>
    </w:p>
    <w:p>
      <w:pPr>
        <w:pStyle w:val="ListBullet"/>
        <w:ind w:left="360" w:hanging="360"/>
      </w:pPr>
      <w:r>
        <w:rPr>
          <w:rFonts w:ascii="Calibri" w:hAnsi="Calibri"/>
          <w:b/>
          <w:color w:val="525866"/>
          <w:sz w:val="22"/>
        </w:rPr>
        <w:t xml:space="preserve">Data Center Contracting Momentum: </w:t>
      </w:r>
      <w:r>
        <w:rPr>
          <w:rFonts w:ascii="Calibri" w:hAnsi="Calibri"/>
          <w:color w:val="525866"/>
          <w:sz w:val="22"/>
        </w:rPr>
        <w:t>Dominion now has over 53 GW of data center capacity in various stages of contracting, with ~12 GW contracted under electric service agreements — adding over 5 GW of contracts since year-end (an ~11% increase). The robust contracting pace in Virginia (the world’s leading data center market) confirms that large load customers are actively committing to long-term power agreements, a positive signal for NRG’s deal pipeline.</w:t>
      </w:r>
    </w:p>
    <w:p>
      <w:pPr>
        <w:pStyle w:val="ListBullet"/>
        <w:ind w:left="360" w:hanging="360"/>
      </w:pPr>
      <w:r>
        <w:rPr>
          <w:rFonts w:ascii="Calibri" w:hAnsi="Calibri"/>
          <w:b/>
          <w:color w:val="525866"/>
          <w:sz w:val="22"/>
        </w:rPr>
        <w:t xml:space="preserve">Grid Reliability Under Stress: </w:t>
      </w:r>
      <w:r>
        <w:rPr>
          <w:rFonts w:ascii="Calibri" w:hAnsi="Calibri"/>
          <w:color w:val="525866"/>
          <w:sz w:val="22"/>
        </w:rPr>
        <w:t>Dominion disclosed a transmission line fault that caused some data centers to unexpectedly switch to backup power, highlighting grid reliability challenges as data center density increases. This is a read-through for NRG’s front-of-meter strategy — data centers are increasingly valuing dedicated, reliable power supply, which is the core value proposition of NRG’s BYOP framework.</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The only insider activity since the Q1 2026 earnings date consists of two planned 10b5-1 sales by the Chief Administrative Officer — both pre-scheduled and obligation-driven, with no open-market discretionary buys or sells from senior leadership; nothing notable to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Virginia Kinney</w:t>
            </w:r>
          </w:p>
        </w:tc>
        <w:tc>
          <w:tcPr>
            <w:tcW w:type="dxa" w:w="1440"/>
          </w:tcPr>
          <w:p>
            <w:r>
              <w:rPr>
                <w:rFonts w:ascii="Calibri" w:hAnsi="Calibri"/>
                <w:sz w:val="22"/>
              </w:rPr>
              <w:t>EVP, Chief Administrative Officer</w:t>
            </w:r>
          </w:p>
        </w:tc>
        <w:tc>
          <w:tcPr>
            <w:tcW w:type="dxa" w:w="1440"/>
          </w:tcPr>
          <w:p>
            <w:r>
              <w:rPr>
                <w:rFonts w:ascii="Calibri" w:hAnsi="Calibri"/>
                <w:sz w:val="22"/>
              </w:rPr>
              <w:t>10b5-1 Planned Sale</w:t>
            </w:r>
          </w:p>
        </w:tc>
        <w:tc>
          <w:tcPr>
            <w:tcW w:type="dxa" w:w="1440"/>
          </w:tcPr>
          <w:p>
            <w:r>
              <w:rPr>
                <w:rFonts w:ascii="Calibri" w:hAnsi="Calibri"/>
                <w:sz w:val="22"/>
              </w:rPr>
              <w:t>11,145 shares</w:t>
            </w:r>
          </w:p>
        </w:tc>
        <w:tc>
          <w:tcPr>
            <w:tcW w:type="dxa" w:w="1440"/>
          </w:tcPr>
          <w:p>
            <w:r>
              <w:rPr>
                <w:rFonts w:ascii="Calibri" w:hAnsi="Calibri"/>
                <w:sz w:val="22"/>
              </w:rPr>
              <w:t>July 15, 2026</w:t>
            </w:r>
          </w:p>
        </w:tc>
        <w:tc>
          <w:tcPr>
            <w:tcW w:type="dxa" w:w="1440"/>
          </w:tcPr>
          <w:p>
            <w:r>
              <w:rPr>
                <w:rFonts w:ascii="Calibri" w:hAnsi="Calibri"/>
                <w:sz w:val="22"/>
              </w:rPr>
              <w:t>Pre-scheduled 10b5-1 plan sale; not discretionary. Retains 33,966 shares post-transaction.</w:t>
            </w:r>
          </w:p>
        </w:tc>
      </w:tr>
      <w:tr>
        <w:tc>
          <w:tcPr>
            <w:tcW w:type="dxa" w:w="1440"/>
          </w:tcPr>
          <w:p>
            <w:r>
              <w:rPr>
                <w:rFonts w:ascii="Calibri" w:hAnsi="Calibri"/>
                <w:sz w:val="22"/>
              </w:rPr>
              <w:t>Virginia Kinney</w:t>
            </w:r>
          </w:p>
        </w:tc>
        <w:tc>
          <w:tcPr>
            <w:tcW w:type="dxa" w:w="1440"/>
          </w:tcPr>
          <w:p>
            <w:r>
              <w:rPr>
                <w:rFonts w:ascii="Calibri" w:hAnsi="Calibri"/>
                <w:sz w:val="22"/>
              </w:rPr>
              <w:t>EVP, Chief Administrative Officer</w:t>
            </w:r>
          </w:p>
        </w:tc>
        <w:tc>
          <w:tcPr>
            <w:tcW w:type="dxa" w:w="1440"/>
          </w:tcPr>
          <w:p>
            <w:r>
              <w:rPr>
                <w:rFonts w:ascii="Calibri" w:hAnsi="Calibri"/>
                <w:sz w:val="22"/>
              </w:rPr>
              <w:t>10b5-1 Planned Sale</w:t>
            </w:r>
          </w:p>
        </w:tc>
        <w:tc>
          <w:tcPr>
            <w:tcW w:type="dxa" w:w="1440"/>
          </w:tcPr>
          <w:p>
            <w:r>
              <w:rPr>
                <w:rFonts w:ascii="Calibri" w:hAnsi="Calibri"/>
                <w:sz w:val="22"/>
              </w:rPr>
              <w:t>20,000 shares</w:t>
            </w:r>
          </w:p>
        </w:tc>
        <w:tc>
          <w:tcPr>
            <w:tcW w:type="dxa" w:w="1440"/>
          </w:tcPr>
          <w:p>
            <w:r>
              <w:rPr>
                <w:rFonts w:ascii="Calibri" w:hAnsi="Calibri"/>
                <w:sz w:val="22"/>
              </w:rPr>
              <w:t>June 15, 2026</w:t>
            </w:r>
          </w:p>
        </w:tc>
        <w:tc>
          <w:tcPr>
            <w:tcW w:type="dxa" w:w="1440"/>
          </w:tcPr>
          <w:p>
            <w:r>
              <w:rPr>
                <w:rFonts w:ascii="Calibri" w:hAnsi="Calibri"/>
                <w:sz w:val="22"/>
              </w:rPr>
              <w:t>Pre-scheduled 10b5-1 plan sale; not discretionary. Retains 45,111 shares post-transaction.</w:t>
            </w:r>
          </w:p>
        </w:tc>
      </w:tr>
    </w:tbl>
    <w:p>
      <w:r>
        <w:rPr>
          <w:rFonts w:ascii="Calibri" w:hAnsi="Calibri"/>
          <w:color w:val="525866"/>
          <w:sz w:val="22"/>
        </w:rPr>
        <w:t>Source: SEC Form 4 Filings (Insider Transaction Data). Both transactions are coded as 10b5-1 pre-planned sales (overall_10b5 = True), meaning they were scheduled in advance and do not reflect real-time sentiment about the company’s prospects. No open-market purchases or discretionary sales were filed by any NRG insider since the Q1 2026 earnings date. The absence of open-market buying by senior leadership (including the new CEO Gaudette) is not unusual given the CEO transition and typical quiet period protocols, but is worth monitoring in subsequent quarters as a potential conviction signal on the data center deal thesis.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