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NRG Energy, Inc. (NRG)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NRG Energy, Inc.</w:t>
            </w:r>
          </w:p>
        </w:tc>
      </w:tr>
      <w:tr>
        <w:tc>
          <w:tcPr>
            <w:tcW w:type="dxa" w:w="4320"/>
          </w:tcPr>
          <w:p>
            <w:r>
              <w:rPr>
                <w:rFonts w:ascii="Calibri" w:hAnsi="Calibri"/>
                <w:b/>
                <w:sz w:val="22"/>
              </w:rPr>
              <w:t>Ticker</w:t>
            </w:r>
          </w:p>
        </w:tc>
        <w:tc>
          <w:tcPr>
            <w:tcW w:type="dxa" w:w="4320"/>
          </w:tcPr>
          <w:p>
            <w:r>
              <w:rPr>
                <w:rFonts w:ascii="Calibri" w:hAnsi="Calibri"/>
                <w:sz w:val="22"/>
              </w:rPr>
              <w:t>NRG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9:00 AM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Primary Valuation Metric</w:t>
            </w:r>
          </w:p>
        </w:tc>
        <w:tc>
          <w:tcPr>
            <w:tcW w:type="dxa" w:w="4320"/>
          </w:tcPr>
          <w:p>
            <w:r>
              <w:rPr>
                <w:rFonts w:ascii="Calibri" w:hAnsi="Calibri"/>
                <w:sz w:val="22"/>
              </w:rPr>
              <w:t>EV/EBITDA (NTM: 8.82x)</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mixed-to-cautiously-constructive — the bar is achievable given full-year guidance reaffirmation, but Q2 consensus has drifted lower since the Q1 print and the biggest swing factor is whether </w:t>
      </w:r>
      <w:r>
        <w:rPr>
          <w:rFonts w:ascii="Calibri" w:hAnsi="Calibri"/>
          <w:b/>
          <w:color w:val="525866"/>
          <w:sz w:val="22"/>
        </w:rPr>
        <w:t>Texas summer heat and data-center deal momentum</w:t>
      </w:r>
      <w:r>
        <w:rPr>
          <w:rFonts w:ascii="Calibri" w:hAnsi="Calibri"/>
          <w:color w:val="525866"/>
          <w:sz w:val="22"/>
        </w:rPr>
        <w:t xml:space="preserve"> can offset the structural headwinds that weighed on Q1.</w:t>
      </w:r>
    </w:p>
    <w:p>
      <w:r>
        <w:rPr>
          <w:rFonts w:ascii="Calibri" w:hAnsi="Calibri"/>
          <w:color w:val="525866"/>
          <w:sz w:val="22"/>
        </w:rPr>
        <w:t xml:space="preserve">NRG heads into its Q2 2026 print with a </w:t>
      </w:r>
      <w:r>
        <w:rPr>
          <w:rFonts w:ascii="Calibri" w:hAnsi="Calibri"/>
          <w:b/>
          <w:color w:val="525866"/>
          <w:sz w:val="22"/>
        </w:rPr>
        <w:t>manageable but not low bar</w:t>
      </w:r>
      <w:r>
        <w:rPr>
          <w:rFonts w:ascii="Calibri" w:hAnsi="Calibri"/>
          <w:color w:val="525866"/>
          <w:sz w:val="22"/>
        </w:rPr>
        <w:t xml:space="preserve">: consensus Adjusted EBITDA of ~$1.14B and Operating EPS of ~$1.66 sit below the post-Q1 peak of ~$1.33B and ~$2.13 reached in late May, reflecting a steady downward drift in estimates over the past six weeks. Management reaffirmed full-year 2026 guidance on May 6 and expressed greater confidence on a free-cash-flow basis, citing working-capital tailwinds expected to unwind through the year — a posture that is constructive but stops short of a formal raise. The estimate trajectory has been modestly negative since late June (EBITDA consensus slipped from ~$1.23B to ~$1.14B), suggesting the Street has already de-risked the quarter somewhat, which creates a modest cushion if Texas summer weather cooperates. The stock has declined roughly 8% since the Q1 print (vs. XLU roughly flat), compressing the NTM EV/EBITDA multiple from ~9.1x to ~8.8x, so the stock is not pricing in a beat — any positive surprise on Texas retail margins or a data-center deal announcement could be a meaningful catalyst. The single biggest wildcard is </w:t>
      </w:r>
      <w:r>
        <w:rPr>
          <w:rFonts w:ascii="Calibri" w:hAnsi="Calibri"/>
          <w:b/>
          <w:color w:val="525866"/>
          <w:sz w:val="22"/>
        </w:rPr>
        <w:t>a large-load / data-center agreement announcement</w:t>
      </w:r>
      <w:r>
        <w:rPr>
          <w:rFonts w:ascii="Calibri" w:hAnsi="Calibri"/>
          <w:color w:val="525866"/>
          <w:sz w:val="22"/>
        </w:rPr>
        <w:t>: management stated on the Q1 call that "to hit '29 [COD], we've got to get something done in '26," and the new CEO expressed a high level of confidence in near-term execution — a deal disclosure alongside the print would likely re-rate the stock sharply higher.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Adjusted EBITDA is the primary swing factor — consensus of ~$1.14B is a modest bar relative to the Q2 2025 actual of $455M (which was a weak comp), but the more relevant comparison is the full-year guidance midpoint of ~$5.3B, which implies a strong H2 ramp. Operating EPS of ~$1.66 is the secondary watch item, with the Street having trimmed estimates meaningfully from the post-Q1 peak.</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 Note</w:t>
            </w:r>
          </w:p>
        </w:tc>
      </w:tr>
      <w:tr>
        <w:tc>
          <w:tcPr>
            <w:tcW w:type="dxa" w:w="1234"/>
          </w:tcPr>
          <w:p>
            <w:r>
              <w:rPr>
                <w:rFonts w:ascii="Calibri" w:hAnsi="Calibri"/>
                <w:sz w:val="22"/>
              </w:rPr>
              <w:t>Adjusted EBITDA</w:t>
            </w:r>
          </w:p>
        </w:tc>
        <w:tc>
          <w:tcPr>
            <w:tcW w:type="dxa" w:w="1234"/>
          </w:tcPr>
          <w:p>
            <w:r>
              <w:rPr>
                <w:rFonts w:ascii="Calibri" w:hAnsi="Calibri"/>
                <w:sz w:val="22"/>
              </w:rPr>
              <w:t>$873M</w:t>
            </w:r>
          </w:p>
        </w:tc>
        <w:tc>
          <w:tcPr>
            <w:tcW w:type="dxa" w:w="1234"/>
          </w:tcPr>
          <w:p>
            <w:r>
              <w:rPr>
                <w:rFonts w:ascii="Calibri" w:hAnsi="Calibri"/>
                <w:sz w:val="22"/>
              </w:rPr>
              <w:t>$456M</w:t>
            </w:r>
          </w:p>
        </w:tc>
        <w:tc>
          <w:tcPr>
            <w:tcW w:type="dxa" w:w="1234"/>
          </w:tcPr>
          <w:p>
            <w:r>
              <w:rPr>
                <w:rFonts w:ascii="Calibri" w:hAnsi="Calibri"/>
                <w:sz w:val="22"/>
              </w:rPr>
              <w:t>$1,140M</w:t>
            </w:r>
          </w:p>
        </w:tc>
        <w:tc>
          <w:tcPr>
            <w:tcW w:type="dxa" w:w="1234"/>
          </w:tcPr>
          <w:p>
            <w:r>
              <w:rPr>
                <w:rFonts w:ascii="Calibri" w:hAnsi="Calibri"/>
                <w:sz w:val="22"/>
              </w:rPr>
              <w:t>+150% YoY</w:t>
            </w:r>
          </w:p>
        </w:tc>
        <w:tc>
          <w:tcPr>
            <w:tcW w:type="dxa" w:w="1234"/>
          </w:tcPr>
          <w:p>
            <w:r>
              <w:rPr>
                <w:rFonts w:ascii="Calibri" w:hAnsi="Calibri"/>
                <w:sz w:val="22"/>
              </w:rPr>
              <w:t>~$5,300M (FY midpoint)</w:t>
            </w:r>
          </w:p>
        </w:tc>
        <w:tc>
          <w:tcPr>
            <w:tcW w:type="dxa" w:w="1234"/>
          </w:tcPr>
          <w:p>
            <w:r>
              <w:rPr>
                <w:rFonts w:ascii="Calibri" w:hAnsi="Calibri"/>
                <w:sz w:val="22"/>
              </w:rPr>
              <w:t>Q2 cons. implies ~21% of FY midpoint; achievable but requires strong H2</w:t>
            </w:r>
          </w:p>
        </w:tc>
      </w:tr>
      <w:tr>
        <w:tc>
          <w:tcPr>
            <w:tcW w:type="dxa" w:w="1234"/>
          </w:tcPr>
          <w:p>
            <w:r>
              <w:rPr>
                <w:rFonts w:ascii="Calibri" w:hAnsi="Calibri"/>
                <w:sz w:val="22"/>
              </w:rPr>
              <w:t>Operating EPS (Diluted)</w:t>
            </w:r>
          </w:p>
        </w:tc>
        <w:tc>
          <w:tcPr>
            <w:tcW w:type="dxa" w:w="1234"/>
          </w:tcPr>
          <w:p>
            <w:r>
              <w:rPr>
                <w:rFonts w:ascii="Calibri" w:hAnsi="Calibri"/>
                <w:sz w:val="22"/>
              </w:rPr>
              <w:t>$1.48</w:t>
            </w:r>
          </w:p>
        </w:tc>
        <w:tc>
          <w:tcPr>
            <w:tcW w:type="dxa" w:w="1234"/>
          </w:tcPr>
          <w:p>
            <w:r>
              <w:rPr>
                <w:rFonts w:ascii="Calibri" w:hAnsi="Calibri"/>
                <w:sz w:val="22"/>
              </w:rPr>
              <w:t>$1.68</w:t>
            </w:r>
          </w:p>
        </w:tc>
        <w:tc>
          <w:tcPr>
            <w:tcW w:type="dxa" w:w="1234"/>
          </w:tcPr>
          <w:p>
            <w:r>
              <w:rPr>
                <w:rFonts w:ascii="Calibri" w:hAnsi="Calibri"/>
                <w:sz w:val="22"/>
              </w:rPr>
              <w:t>$1.66</w:t>
            </w:r>
          </w:p>
        </w:tc>
        <w:tc>
          <w:tcPr>
            <w:tcW w:type="dxa" w:w="1234"/>
          </w:tcPr>
          <w:p>
            <w:r>
              <w:rPr>
                <w:rFonts w:ascii="Calibri" w:hAnsi="Calibri"/>
                <w:sz w:val="22"/>
              </w:rPr>
              <w:t>-1% YoY</w:t>
            </w:r>
          </w:p>
        </w:tc>
        <w:tc>
          <w:tcPr>
            <w:tcW w:type="dxa" w:w="1234"/>
          </w:tcPr>
          <w:p>
            <w:r>
              <w:rPr>
                <w:rFonts w:ascii="Calibri" w:hAnsi="Calibri"/>
                <w:sz w:val="22"/>
              </w:rPr>
              <w:t>~$9.01 (FY midpoint)</w:t>
            </w:r>
          </w:p>
        </w:tc>
        <w:tc>
          <w:tcPr>
            <w:tcW w:type="dxa" w:w="1234"/>
          </w:tcPr>
          <w:p>
            <w:r>
              <w:rPr>
                <w:rFonts w:ascii="Calibri" w:hAnsi="Calibri"/>
                <w:sz w:val="22"/>
              </w:rPr>
              <w:t>Q2 cons. implies ~18% of FY; back-half weighted</w:t>
            </w:r>
          </w:p>
        </w:tc>
      </w:tr>
      <w:tr>
        <w:tc>
          <w:tcPr>
            <w:tcW w:type="dxa" w:w="1234"/>
          </w:tcPr>
          <w:p>
            <w:r>
              <w:rPr>
                <w:rFonts w:ascii="Calibri" w:hAnsi="Calibri"/>
                <w:sz w:val="22"/>
              </w:rPr>
              <w:t>Total Operating Revenues</w:t>
            </w:r>
          </w:p>
        </w:tc>
        <w:tc>
          <w:tcPr>
            <w:tcW w:type="dxa" w:w="1234"/>
          </w:tcPr>
          <w:p>
            <w:r>
              <w:rPr>
                <w:rFonts w:ascii="Calibri" w:hAnsi="Calibri"/>
                <w:sz w:val="22"/>
              </w:rPr>
              <w:t>$10,256M</w:t>
            </w:r>
          </w:p>
        </w:tc>
        <w:tc>
          <w:tcPr>
            <w:tcW w:type="dxa" w:w="1234"/>
          </w:tcPr>
          <w:p>
            <w:r>
              <w:rPr>
                <w:rFonts w:ascii="Calibri" w:hAnsi="Calibri"/>
                <w:sz w:val="22"/>
              </w:rPr>
              <w:t>$6,740M</w:t>
            </w:r>
          </w:p>
        </w:tc>
        <w:tc>
          <w:tcPr>
            <w:tcW w:type="dxa" w:w="1234"/>
          </w:tcPr>
          <w:p>
            <w:r>
              <w:rPr>
                <w:rFonts w:ascii="Calibri" w:hAnsi="Calibri"/>
                <w:sz w:val="22"/>
              </w:rPr>
              <w:t>$7,588M</w:t>
            </w:r>
          </w:p>
        </w:tc>
        <w:tc>
          <w:tcPr>
            <w:tcW w:type="dxa" w:w="1234"/>
          </w:tcPr>
          <w:p>
            <w:r>
              <w:rPr>
                <w:rFonts w:ascii="Calibri" w:hAnsi="Calibri"/>
                <w:sz w:val="22"/>
              </w:rPr>
              <w:t>+13% YoY</w:t>
            </w:r>
          </w:p>
        </w:tc>
        <w:tc>
          <w:tcPr>
            <w:tcW w:type="dxa" w:w="1234"/>
          </w:tcPr>
          <w:p>
            <w:r>
              <w:rPr>
                <w:rFonts w:ascii="Calibri" w:hAnsi="Calibri"/>
                <w:sz w:val="22"/>
              </w:rPr>
              <w:t>~$31,981M (FY midpoint)</w:t>
            </w:r>
          </w:p>
        </w:tc>
        <w:tc>
          <w:tcPr>
            <w:tcW w:type="dxa" w:w="1234"/>
          </w:tcPr>
          <w:p>
            <w:r>
              <w:rPr>
                <w:rFonts w:ascii="Calibri" w:hAnsi="Calibri"/>
                <w:sz w:val="22"/>
              </w:rPr>
              <w:t>LS Power assets add full-quarter contribution vs. ~2 months in Q1</w:t>
            </w:r>
          </w:p>
        </w:tc>
      </w:tr>
      <w:tr>
        <w:tc>
          <w:tcPr>
            <w:tcW w:type="dxa" w:w="1234"/>
          </w:tcPr>
          <w:p>
            <w:r>
              <w:rPr>
                <w:rFonts w:ascii="Calibri" w:hAnsi="Calibri"/>
                <w:sz w:val="22"/>
              </w:rPr>
              <w:t>Capital Expenditures</w:t>
            </w:r>
          </w:p>
        </w:tc>
        <w:tc>
          <w:tcPr>
            <w:tcW w:type="dxa" w:w="1234"/>
          </w:tcPr>
          <w:p>
            <w:r>
              <w:rPr>
                <w:rFonts w:ascii="Calibri" w:hAnsi="Calibri"/>
                <w:sz w:val="22"/>
              </w:rPr>
              <w:t>$317M</w:t>
            </w:r>
          </w:p>
        </w:tc>
        <w:tc>
          <w:tcPr>
            <w:tcW w:type="dxa" w:w="1234"/>
          </w:tcPr>
          <w:p>
            <w:r>
              <w:rPr>
                <w:rFonts w:ascii="Calibri" w:hAnsi="Calibri"/>
                <w:sz w:val="22"/>
              </w:rPr>
              <w:t>$378M</w:t>
            </w:r>
          </w:p>
        </w:tc>
        <w:tc>
          <w:tcPr>
            <w:tcW w:type="dxa" w:w="1234"/>
          </w:tcPr>
          <w:p>
            <w:r>
              <w:rPr>
                <w:rFonts w:ascii="Calibri" w:hAnsi="Calibri"/>
                <w:sz w:val="22"/>
              </w:rPr>
              <w:t>$188M</w:t>
            </w:r>
          </w:p>
        </w:tc>
        <w:tc>
          <w:tcPr>
            <w:tcW w:type="dxa" w:w="1234"/>
          </w:tcPr>
          <w:p>
            <w:r>
              <w:rPr>
                <w:rFonts w:ascii="Calibri" w:hAnsi="Calibri"/>
                <w:sz w:val="22"/>
              </w:rPr>
              <w:t>-50% YoY</w:t>
            </w:r>
          </w:p>
        </w:tc>
        <w:tc>
          <w:tcPr>
            <w:tcW w:type="dxa" w:w="1234"/>
          </w:tcPr>
          <w:p>
            <w:r>
              <w:rPr>
                <w:rFonts w:ascii="Calibri" w:hAnsi="Calibri"/>
                <w:sz w:val="22"/>
              </w:rPr>
              <w:t>~$871M (FY midpoint)</w:t>
            </w:r>
          </w:p>
        </w:tc>
        <w:tc>
          <w:tcPr>
            <w:tcW w:type="dxa" w:w="1234"/>
          </w:tcPr>
          <w:p>
            <w:r>
              <w:rPr>
                <w:rFonts w:ascii="Calibri" w:hAnsi="Calibri"/>
                <w:sz w:val="22"/>
              </w:rPr>
              <w:t>Q2 cons. implies moderation; TEF construction ramp in H2</w:t>
            </w:r>
          </w:p>
        </w:tc>
      </w:tr>
    </w:tbl>
    <w:p>
      <w:r>
        <w:rPr>
          <w:rFonts w:ascii="Calibri" w:hAnsi="Calibri"/>
          <w:i/>
          <w:color w:val="525866"/>
          <w:sz w:val="22"/>
        </w:rPr>
        <w:t>Source: Visible Alpha Consensus and Actuals Data. Q2 2026 consensus as of August 4, 2026. Q1 2026 and Q2 2025 actuals from Visible Alpha. FY 2026 guidance midpoint from NRG Q1 2026 earnings release (May 6, 2026).</w:t>
      </w:r>
    </w:p>
    <w:p>
      <w:pPr>
        <w:pStyle w:val="Heading3"/>
      </w:pPr>
      <w:r>
        <w:rPr>
          <w:rFonts w:ascii="Calibri" w:hAnsi="Calibri"/>
          <w:b/>
          <w:color w:val="3B4259"/>
          <w:sz w:val="24"/>
        </w:rPr>
        <w:t>Table 2 — Beat / 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$873M</w:t>
            </w:r>
          </w:p>
        </w:tc>
        <w:tc>
          <w:tcPr>
            <w:tcW w:type="dxa" w:w="1440"/>
          </w:tcPr>
          <w:p>
            <w:r>
              <w:rPr>
                <w:rFonts w:ascii="Calibri" w:hAnsi="Calibri"/>
                <w:sz w:val="22"/>
              </w:rPr>
              <w:t>$974M</w:t>
            </w:r>
          </w:p>
        </w:tc>
        <w:tc>
          <w:tcPr>
            <w:tcW w:type="dxa" w:w="1440"/>
          </w:tcPr>
          <w:p>
            <w:r>
              <w:rPr>
                <w:rFonts w:ascii="Calibri" w:hAnsi="Calibri"/>
                <w:sz w:val="22"/>
              </w:rPr>
              <w:t>-10.4%</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$1.48</w:t>
            </w:r>
          </w:p>
        </w:tc>
        <w:tc>
          <w:tcPr>
            <w:tcW w:type="dxa" w:w="1440"/>
          </w:tcPr>
          <w:p>
            <w:r>
              <w:rPr>
                <w:rFonts w:ascii="Calibri" w:hAnsi="Calibri"/>
                <w:sz w:val="22"/>
              </w:rPr>
              <w:t>$1.72</w:t>
            </w:r>
          </w:p>
        </w:tc>
        <w:tc>
          <w:tcPr>
            <w:tcW w:type="dxa" w:w="1440"/>
          </w:tcPr>
          <w:p>
            <w:r>
              <w:rPr>
                <w:rFonts w:ascii="Calibri" w:hAnsi="Calibri"/>
                <w:sz w:val="22"/>
              </w:rPr>
              <w:t>-14.0%</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$917M</w:t>
            </w:r>
          </w:p>
        </w:tc>
        <w:tc>
          <w:tcPr>
            <w:tcW w:type="dxa" w:w="1440"/>
          </w:tcPr>
          <w:p>
            <w:r>
              <w:rPr>
                <w:rFonts w:ascii="Calibri" w:hAnsi="Calibri"/>
                <w:sz w:val="22"/>
              </w:rPr>
              <w:t>$849M</w:t>
            </w:r>
          </w:p>
        </w:tc>
        <w:tc>
          <w:tcPr>
            <w:tcW w:type="dxa" w:w="1440"/>
          </w:tcPr>
          <w:p>
            <w:r>
              <w:rPr>
                <w:rFonts w:ascii="Calibri" w:hAnsi="Calibri"/>
                <w:sz w:val="22"/>
              </w:rPr>
              <w:t>+8.0%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$1.02</w:t>
            </w:r>
          </w:p>
        </w:tc>
        <w:tc>
          <w:tcPr>
            <w:tcW w:type="dxa" w:w="1440"/>
          </w:tcPr>
          <w:p>
            <w:r>
              <w:rPr>
                <w:rFonts w:ascii="Calibri" w:hAnsi="Calibri"/>
                <w:sz w:val="22"/>
              </w:rPr>
              <w:t>$1.03</w:t>
            </w:r>
          </w:p>
        </w:tc>
        <w:tc>
          <w:tcPr>
            <w:tcW w:type="dxa" w:w="1440"/>
          </w:tcPr>
          <w:p>
            <w:r>
              <w:rPr>
                <w:rFonts w:ascii="Calibri" w:hAnsi="Calibri"/>
                <w:sz w:val="22"/>
              </w:rPr>
              <w:t>-1.0%</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$886M</w:t>
            </w:r>
          </w:p>
        </w:tc>
        <w:tc>
          <w:tcPr>
            <w:tcW w:type="dxa" w:w="1440"/>
          </w:tcPr>
          <w:p>
            <w:r>
              <w:rPr>
                <w:rFonts w:ascii="Calibri" w:hAnsi="Calibri"/>
                <w:sz w:val="22"/>
              </w:rPr>
              <w:t>$998M</w:t>
            </w:r>
          </w:p>
        </w:tc>
        <w:tc>
          <w:tcPr>
            <w:tcW w:type="dxa" w:w="1440"/>
          </w:tcPr>
          <w:p>
            <w:r>
              <w:rPr>
                <w:rFonts w:ascii="Calibri" w:hAnsi="Calibri"/>
                <w:sz w:val="22"/>
              </w:rPr>
              <w:t>-11.2%</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$2.75</w:t>
            </w:r>
          </w:p>
        </w:tc>
        <w:tc>
          <w:tcPr>
            <w:tcW w:type="dxa" w:w="1440"/>
          </w:tcPr>
          <w:p>
            <w:r>
              <w:rPr>
                <w:rFonts w:ascii="Calibri" w:hAnsi="Calibri"/>
                <w:sz w:val="22"/>
              </w:rPr>
              <w:t>$2.24</w:t>
            </w:r>
          </w:p>
        </w:tc>
        <w:tc>
          <w:tcPr>
            <w:tcW w:type="dxa" w:w="1440"/>
          </w:tcPr>
          <w:p>
            <w:r>
              <w:rPr>
                <w:rFonts w:ascii="Calibri" w:hAnsi="Calibri"/>
                <w:sz w:val="22"/>
              </w:rPr>
              <w:t>+22.8%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$456M</w:t>
            </w:r>
          </w:p>
        </w:tc>
        <w:tc>
          <w:tcPr>
            <w:tcW w:type="dxa" w:w="1440"/>
          </w:tcPr>
          <w:p>
            <w:r>
              <w:rPr>
                <w:rFonts w:ascii="Calibri" w:hAnsi="Calibri"/>
                <w:sz w:val="22"/>
              </w:rPr>
              <w:t>$896M</w:t>
            </w:r>
          </w:p>
        </w:tc>
        <w:tc>
          <w:tcPr>
            <w:tcW w:type="dxa" w:w="1440"/>
          </w:tcPr>
          <w:p>
            <w:r>
              <w:rPr>
                <w:rFonts w:ascii="Calibri" w:hAnsi="Calibri"/>
                <w:sz w:val="22"/>
              </w:rPr>
              <w:t>-49.1%</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$1.68</w:t>
            </w:r>
          </w:p>
        </w:tc>
        <w:tc>
          <w:tcPr>
            <w:tcW w:type="dxa" w:w="1440"/>
          </w:tcPr>
          <w:p>
            <w:r>
              <w:rPr>
                <w:rFonts w:ascii="Calibri" w:hAnsi="Calibri"/>
                <w:sz w:val="22"/>
              </w:rPr>
              <w:t>$1.54</w:t>
            </w:r>
          </w:p>
        </w:tc>
        <w:tc>
          <w:tcPr>
            <w:tcW w:type="dxa" w:w="1440"/>
          </w:tcPr>
          <w:p>
            <w:r>
              <w:rPr>
                <w:rFonts w:ascii="Calibri" w:hAnsi="Calibri"/>
                <w:sz w:val="22"/>
              </w:rPr>
              <w:t>+9.1%</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$1,190M</w:t>
            </w:r>
          </w:p>
        </w:tc>
        <w:tc>
          <w:tcPr>
            <w:tcW w:type="dxa" w:w="1440"/>
          </w:tcPr>
          <w:p>
            <w:r>
              <w:rPr>
                <w:rFonts w:ascii="Calibri" w:hAnsi="Calibri"/>
                <w:sz w:val="22"/>
              </w:rPr>
              <w:t>$974M</w:t>
            </w:r>
          </w:p>
        </w:tc>
        <w:tc>
          <w:tcPr>
            <w:tcW w:type="dxa" w:w="1440"/>
          </w:tcPr>
          <w:p>
            <w:r>
              <w:rPr>
                <w:rFonts w:ascii="Calibri" w:hAnsi="Calibri"/>
                <w:sz w:val="22"/>
              </w:rPr>
              <w:t>+22.2%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$2.62</w:t>
            </w:r>
          </w:p>
        </w:tc>
        <w:tc>
          <w:tcPr>
            <w:tcW w:type="dxa" w:w="1440"/>
          </w:tcPr>
          <w:p>
            <w:r>
              <w:rPr>
                <w:rFonts w:ascii="Calibri" w:hAnsi="Calibri"/>
                <w:sz w:val="22"/>
              </w:rPr>
              <w:t>$1.80</w:t>
            </w:r>
          </w:p>
        </w:tc>
        <w:tc>
          <w:tcPr>
            <w:tcW w:type="dxa" w:w="1440"/>
          </w:tcPr>
          <w:p>
            <w:r>
              <w:rPr>
                <w:rFonts w:ascii="Calibri" w:hAnsi="Calibri"/>
                <w:sz w:val="22"/>
              </w:rPr>
              <w:t>+45.6%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$1,333M</w:t>
            </w:r>
          </w:p>
        </w:tc>
        <w:tc>
          <w:tcPr>
            <w:tcW w:type="dxa" w:w="1440"/>
          </w:tcPr>
          <w:p>
            <w:r>
              <w:rPr>
                <w:rFonts w:ascii="Calibri" w:hAnsi="Calibri"/>
                <w:sz w:val="22"/>
              </w:rPr>
              <w:t>$799M</w:t>
            </w:r>
          </w:p>
        </w:tc>
        <w:tc>
          <w:tcPr>
            <w:tcW w:type="dxa" w:w="1440"/>
          </w:tcPr>
          <w:p>
            <w:r>
              <w:rPr>
                <w:rFonts w:ascii="Calibri" w:hAnsi="Calibri"/>
                <w:sz w:val="22"/>
              </w:rPr>
              <w:t>+66.8%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$1.51</w:t>
            </w:r>
          </w:p>
        </w:tc>
        <w:tc>
          <w:tcPr>
            <w:tcW w:type="dxa" w:w="1440"/>
          </w:tcPr>
          <w:p>
            <w:r>
              <w:rPr>
                <w:rFonts w:ascii="Calibri" w:hAnsi="Calibri"/>
                <w:sz w:val="22"/>
              </w:rPr>
              <w:t>$0.95</w:t>
            </w:r>
          </w:p>
        </w:tc>
        <w:tc>
          <w:tcPr>
            <w:tcW w:type="dxa" w:w="1440"/>
          </w:tcPr>
          <w:p>
            <w:r>
              <w:rPr>
                <w:rFonts w:ascii="Calibri" w:hAnsi="Calibri"/>
                <w:sz w:val="22"/>
              </w:rPr>
              <w:t>+58.9%</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$498M</w:t>
            </w:r>
          </w:p>
        </w:tc>
        <w:tc>
          <w:tcPr>
            <w:tcW w:type="dxa" w:w="1440"/>
          </w:tcPr>
          <w:p>
            <w:r>
              <w:rPr>
                <w:rFonts w:ascii="Calibri" w:hAnsi="Calibri"/>
                <w:sz w:val="22"/>
              </w:rPr>
              <w:t>$1,049M</w:t>
            </w:r>
          </w:p>
        </w:tc>
        <w:tc>
          <w:tcPr>
            <w:tcW w:type="dxa" w:w="1440"/>
          </w:tcPr>
          <w:p>
            <w:r>
              <w:rPr>
                <w:rFonts w:ascii="Calibri" w:hAnsi="Calibri"/>
                <w:sz w:val="22"/>
              </w:rPr>
              <w:t>-52.5%</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$2.05</w:t>
            </w:r>
          </w:p>
        </w:tc>
        <w:tc>
          <w:tcPr>
            <w:tcW w:type="dxa" w:w="1440"/>
          </w:tcPr>
          <w:p>
            <w:r>
              <w:rPr>
                <w:rFonts w:ascii="Calibri" w:hAnsi="Calibri"/>
                <w:sz w:val="22"/>
              </w:rPr>
              <w:t>$2.05</w:t>
            </w:r>
          </w:p>
        </w:tc>
        <w:tc>
          <w:tcPr>
            <w:tcW w:type="dxa" w:w="1440"/>
          </w:tcPr>
          <w:p>
            <w:r>
              <w:rPr>
                <w:rFonts w:ascii="Calibri" w:hAnsi="Calibri"/>
                <w:sz w:val="22"/>
              </w:rPr>
              <w:t>0.0%</w:t>
            </w:r>
          </w:p>
        </w:tc>
        <w:tc>
          <w:tcPr>
            <w:tcW w:type="dxa" w:w="1440"/>
          </w:tcPr>
          <w:p>
            <w:r>
              <w:rPr>
                <w:rFonts w:ascii="Calibri" w:hAnsi="Calibri"/>
                <w:sz w:val="22"/>
              </w:rPr>
              <w:t>IN LINE</w:t>
            </w:r>
          </w:p>
        </w:tc>
      </w:tr>
    </w:tbl>
    <w:p>
      <w:r>
        <w:rPr>
          <w:rFonts w:ascii="Calibri" w:hAnsi="Calibri"/>
          <w:i/>
          <w:color w:val="525866"/>
          <w:sz w:val="22"/>
        </w:rPr>
        <w:t>Source: Visible Alpha Consensus and Actuals Data. Consensus figures represent estimates as of approximately 5 trading days prior to each earnings date.</w:t>
      </w:r>
    </w:p>
    <w:p>
      <w:r>
        <w:rPr>
          <w:rFonts w:ascii="Calibri" w:hAnsi="Calibri"/>
          <w:b/>
          <w:color w:val="525866"/>
          <w:sz w:val="22"/>
        </w:rPr>
        <w:t xml:space="preserve">Pattern: </w:t>
      </w:r>
      <w:r>
        <w:rPr>
          <w:rFonts w:ascii="Calibri" w:hAnsi="Calibri"/>
          <w:color w:val="525866"/>
          <w:sz w:val="22"/>
        </w:rPr>
        <w:t>NRG's beat/miss history is highly weather-driven and volatile — the company has delivered large beats in cold/hot quarters (Q4 2024, Q1 2025) and significant misses in mild-weather quarters (Q2 2025, Q3 2024, Q1 2026), underscoring that Texas temperature deviation from normal is the single most important near-term earnings driver. EBITDA surprises are consistently larger in magnitude than EPS surprises, reflecting the leverage of weather on the generation and retail margin stack.</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reaffirmed in full on May 6 with no subsequent formal revision; management's tone has been constructive, with the CFO expressing greater confidence on free cash flow than EBITDA, and the new CEO signaling urgency on data-center deal execution. No post-earnings guidance change has been filed.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Adj. EBITDA (FY 2026)</w:t>
            </w:r>
          </w:p>
        </w:tc>
        <w:tc>
          <w:tcPr>
            <w:tcW w:type="dxa" w:w="1728"/>
          </w:tcPr>
          <w:p>
            <w:r>
              <w:rPr>
                <w:rFonts w:ascii="Calibri" w:hAnsi="Calibri"/>
                <w:sz w:val="22"/>
              </w:rPr>
              <w:t>Reaffirmed prior range (midpoint ~$5.3B)</w:t>
            </w:r>
          </w:p>
        </w:tc>
        <w:tc>
          <w:tcPr>
            <w:tcW w:type="dxa" w:w="1728"/>
          </w:tcPr>
          <w:p>
            <w:r>
              <w:rPr>
                <w:rFonts w:ascii="Calibri" w:hAnsi="Calibri"/>
                <w:sz w:val="22"/>
              </w:rPr>
              <w:t>—</w:t>
            </w:r>
          </w:p>
        </w:tc>
        <w:tc>
          <w:tcPr>
            <w:tcW w:type="dxa" w:w="1728"/>
          </w:tcPr>
          <w:p>
            <w:r>
              <w:rPr>
                <w:rFonts w:ascii="Calibri" w:hAnsi="Calibri"/>
                <w:sz w:val="22"/>
              </w:rPr>
              <w:t>$5,303M</w:t>
            </w:r>
          </w:p>
        </w:tc>
        <w:tc>
          <w:tcPr>
            <w:tcW w:type="dxa" w:w="1728"/>
          </w:tcPr>
          <w:p>
            <w:r>
              <w:rPr>
                <w:rFonts w:ascii="Calibri" w:hAnsi="Calibri"/>
                <w:sz w:val="22"/>
              </w:rPr>
              <w:t>Unchanged since Q1 print; CFO noted greater FCF confidence than EBITDA</w:t>
            </w:r>
          </w:p>
        </w:tc>
      </w:tr>
      <w:tr>
        <w:tc>
          <w:tcPr>
            <w:tcW w:type="dxa" w:w="1728"/>
          </w:tcPr>
          <w:p>
            <w:r>
              <w:rPr>
                <w:rFonts w:ascii="Calibri" w:hAnsi="Calibri"/>
                <w:sz w:val="22"/>
              </w:rPr>
              <w:t>FCF Before Growth (FY 2026)</w:t>
            </w:r>
          </w:p>
        </w:tc>
        <w:tc>
          <w:tcPr>
            <w:tcW w:type="dxa" w:w="1728"/>
          </w:tcPr>
          <w:p>
            <w:r>
              <w:rPr>
                <w:rFonts w:ascii="Calibri" w:hAnsi="Calibri"/>
                <w:sz w:val="22"/>
              </w:rPr>
              <w:t>$3.05B midpoint (reaffirmed)</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CFO: "even more confident on a Free Cash Flow basis" — working capital tailwinds expected to unwind H2</w:t>
            </w:r>
          </w:p>
        </w:tc>
      </w:tr>
      <w:tr>
        <w:tc>
          <w:tcPr>
            <w:tcW w:type="dxa" w:w="1728"/>
          </w:tcPr>
          <w:p>
            <w:r>
              <w:rPr>
                <w:rFonts w:ascii="Calibri" w:hAnsi="Calibri"/>
                <w:sz w:val="22"/>
              </w:rPr>
              <w:t>Op. EPS (FY 2026)</w:t>
            </w:r>
          </w:p>
        </w:tc>
        <w:tc>
          <w:tcPr>
            <w:tcW w:type="dxa" w:w="1728"/>
          </w:tcPr>
          <w:p>
            <w:r>
              <w:rPr>
                <w:rFonts w:ascii="Calibri" w:hAnsi="Calibri"/>
                <w:sz w:val="22"/>
              </w:rPr>
              <w:t>Implied by EBITDA/FCF guidance; no explicit EPS range given</w:t>
            </w:r>
          </w:p>
        </w:tc>
        <w:tc>
          <w:tcPr>
            <w:tcW w:type="dxa" w:w="1728"/>
          </w:tcPr>
          <w:p>
            <w:r>
              <w:rPr>
                <w:rFonts w:ascii="Calibri" w:hAnsi="Calibri"/>
                <w:sz w:val="22"/>
              </w:rPr>
              <w:t>—</w:t>
            </w:r>
          </w:p>
        </w:tc>
        <w:tc>
          <w:tcPr>
            <w:tcW w:type="dxa" w:w="1728"/>
          </w:tcPr>
          <w:p>
            <w:r>
              <w:rPr>
                <w:rFonts w:ascii="Calibri" w:hAnsi="Calibri"/>
                <w:sz w:val="22"/>
              </w:rPr>
              <w:t>$9.01</w:t>
            </w:r>
          </w:p>
        </w:tc>
        <w:tc>
          <w:tcPr>
            <w:tcW w:type="dxa" w:w="1728"/>
          </w:tcPr>
          <w:p>
            <w:r>
              <w:rPr>
                <w:rFonts w:ascii="Calibri" w:hAnsi="Calibri"/>
                <w:sz w:val="22"/>
              </w:rPr>
              <w:t>Consensus slightly above post-Q1 baseline of $8.81; modest upward drift</w:t>
            </w:r>
          </w:p>
        </w:tc>
      </w:tr>
      <w:tr>
        <w:tc>
          <w:tcPr>
            <w:tcW w:type="dxa" w:w="1728"/>
          </w:tcPr>
          <w:p>
            <w:r>
              <w:rPr>
                <w:rFonts w:ascii="Calibri" w:hAnsi="Calibri"/>
                <w:sz w:val="22"/>
              </w:rPr>
              <w:t>Capital Allocation / Buybacks</w:t>
            </w:r>
          </w:p>
        </w:tc>
        <w:tc>
          <w:tcPr>
            <w:tcW w:type="dxa" w:w="1728"/>
          </w:tcPr>
          <w:p>
            <w:r>
              <w:rPr>
                <w:rFonts w:ascii="Calibri" w:hAnsi="Calibri"/>
                <w:sz w:val="22"/>
              </w:rPr>
              <w:t>$1B annual repurchase commitment; $3B authorization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maintained even during deleveraging period</w:t>
            </w:r>
          </w:p>
        </w:tc>
      </w:tr>
      <w:tr>
        <w:tc>
          <w:tcPr>
            <w:tcW w:type="dxa" w:w="1728"/>
          </w:tcPr>
          <w:p>
            <w:r>
              <w:rPr>
                <w:rFonts w:ascii="Calibri" w:hAnsi="Calibri"/>
                <w:sz w:val="22"/>
              </w:rPr>
              <w:t>Net Leverage Target</w:t>
            </w:r>
          </w:p>
        </w:tc>
        <w:tc>
          <w:tcPr>
            <w:tcW w:type="dxa" w:w="1728"/>
          </w:tcPr>
          <w:p>
            <w:r>
              <w:rPr>
                <w:rFonts w:ascii="Calibri" w:hAnsi="Calibri"/>
                <w:sz w:val="22"/>
              </w:rPr>
              <w:t>3.0x (reaffirmed)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$3.5B refinancing closed Apr 28; ring-fencing removal on track; &gt;$10M annual interest savings</w:t>
            </w:r>
          </w:p>
        </w:tc>
      </w:tr>
      <w:tr>
        <w:tc>
          <w:tcPr>
            <w:tcW w:type="dxa" w:w="1728"/>
          </w:tcPr>
          <w:p>
            <w:r>
              <w:rPr>
                <w:rFonts w:ascii="Calibri" w:hAnsi="Calibri"/>
                <w:sz w:val="22"/>
              </w:rPr>
              <w:t>Data Center Deal Timing</w:t>
            </w:r>
          </w:p>
        </w:tc>
        <w:tc>
          <w:tcPr>
            <w:tcW w:type="dxa" w:w="1728"/>
          </w:tcPr>
          <w:p>
            <w:r>
              <w:rPr>
                <w:rFonts w:ascii="Calibri" w:hAnsi="Calibri"/>
                <w:sz w:val="22"/>
              </w:rPr>
              <w:t>"Must get something done in '26" for 2029 COD; high confidence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New CEO Gaudette: "getting to a place where we're going to get something done quickly"; pricing above prior $90–$95/MWh ceiling</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Q2 2026 EBITDA estimates peaked at ~$1.33B in late May (likely reflecting optimism around LS Power full-quarter contribution and summer heat) before retreating to ~$1.14B — a ~14% pullback that has largely de-risked the quarter. Full-year estimates have been more stable, drifting modestly lower from ~$5.38B to ~$5.30B, suggesting the Street is not fundamentally revising the annual thesis, just trimming near-term expectations.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 (Period)</w:t>
            </w:r>
          </w:p>
        </w:tc>
        <w:tc>
          <w:tcPr>
            <w:tcW w:type="dxa" w:w="1440"/>
            <w:shd w:val="clear" w:color="auto" w:fill="3B4259"/>
          </w:tcPr>
          <w:p>
            <w:r>
              <w:rPr>
                <w:rFonts w:ascii="Calibri" w:hAnsi="Calibri"/>
                <w:b/>
                <w:color w:val="FFFFFF"/>
                <w:sz w:val="22"/>
              </w:rPr>
              <w:t>Estimate ~5 Days Post Q1 Print (May 13, 2026)</w:t>
            </w:r>
          </w:p>
        </w:tc>
        <w:tc>
          <w:tcPr>
            <w:tcW w:type="dxa" w:w="1440"/>
            <w:shd w:val="clear" w:color="auto" w:fill="3B4259"/>
          </w:tcPr>
          <w:p>
            <w:r>
              <w:rPr>
                <w:rFonts w:ascii="Calibri" w:hAnsi="Calibri"/>
                <w:b/>
                <w:color w:val="FFFFFF"/>
                <w:sz w:val="22"/>
              </w:rPr>
              <w:t>Current Consensus (Aug 4, 2026)</w:t>
            </w:r>
          </w:p>
        </w:tc>
        <w:tc>
          <w:tcPr>
            <w:tcW w:type="dxa" w:w="1440"/>
            <w:shd w:val="clear" w:color="auto" w:fill="3B4259"/>
          </w:tcPr>
          <w:p>
            <w:r>
              <w:rPr>
                <w:rFonts w:ascii="Calibri" w:hAnsi="Calibri"/>
                <w:b/>
                <w:color w:val="FFFFFF"/>
                <w:sz w:val="22"/>
              </w:rPr>
              <w:t>Estimate Δ (%)</w:t>
            </w:r>
          </w:p>
        </w:tc>
        <w:tc>
          <w:tcPr>
            <w:tcW w:type="dxa" w:w="1440"/>
            <w:shd w:val="clear" w:color="auto" w:fill="3B4259"/>
          </w:tcPr>
          <w:p>
            <w:r>
              <w:rPr>
                <w:rFonts w:ascii="Calibri" w:hAnsi="Calibri"/>
                <w:b/>
                <w:color w:val="FFFFFF"/>
                <w:sz w:val="22"/>
              </w:rPr>
              <w:t>FY 2026 Guidance (Midpoint)</w:t>
            </w:r>
          </w:p>
        </w:tc>
        <w:tc>
          <w:tcPr>
            <w:tcW w:type="dxa" w:w="1440"/>
            <w:shd w:val="clear" w:color="auto" w:fill="3B4259"/>
          </w:tcPr>
          <w:p>
            <w:r>
              <w:rPr>
                <w:rFonts w:ascii="Calibri" w:hAnsi="Calibri"/>
                <w:b/>
                <w:color w:val="FFFFFF"/>
                <w:sz w:val="22"/>
              </w:rPr>
              <w:t>Consensus vs. Guidance</w:t>
            </w:r>
          </w:p>
        </w:tc>
      </w:tr>
      <w:tr>
        <w:tc>
          <w:tcPr>
            <w:tcW w:type="dxa" w:w="1440"/>
          </w:tcPr>
          <w:p>
            <w:r>
              <w:rPr>
                <w:rFonts w:ascii="Calibri" w:hAnsi="Calibri"/>
                <w:sz w:val="22"/>
              </w:rPr>
              <w:t>Adj. EBITDA — Q2 2026</w:t>
            </w:r>
          </w:p>
        </w:tc>
        <w:tc>
          <w:tcPr>
            <w:tcW w:type="dxa" w:w="1440"/>
          </w:tcPr>
          <w:p>
            <w:r>
              <w:rPr>
                <w:rFonts w:ascii="Calibri" w:hAnsi="Calibri"/>
                <w:sz w:val="22"/>
              </w:rPr>
              <w:t>$1,149M</w:t>
            </w:r>
          </w:p>
        </w:tc>
        <w:tc>
          <w:tcPr>
            <w:tcW w:type="dxa" w:w="1440"/>
          </w:tcPr>
          <w:p>
            <w:r>
              <w:rPr>
                <w:rFonts w:ascii="Calibri" w:hAnsi="Calibri"/>
                <w:sz w:val="22"/>
              </w:rPr>
              <w:t>$1,140M</w:t>
            </w:r>
          </w:p>
        </w:tc>
        <w:tc>
          <w:tcPr>
            <w:tcW w:type="dxa" w:w="1440"/>
          </w:tcPr>
          <w:p>
            <w:r>
              <w:rPr>
                <w:rFonts w:ascii="Calibri" w:hAnsi="Calibri"/>
                <w:sz w:val="22"/>
              </w:rPr>
              <w:t>-0.8%</w:t>
            </w:r>
          </w:p>
        </w:tc>
        <w:tc>
          <w:tcPr>
            <w:tcW w:type="dxa" w:w="1440"/>
          </w:tcPr>
          <w:p>
            <w:r>
              <w:rPr>
                <w:rFonts w:ascii="Calibri" w:hAnsi="Calibri"/>
                <w:sz w:val="22"/>
              </w:rPr>
              <w:t>N/A (quarterly)</w:t>
            </w:r>
          </w:p>
        </w:tc>
        <w:tc>
          <w:tcPr>
            <w:tcW w:type="dxa" w:w="1440"/>
          </w:tcPr>
          <w:p>
            <w:r>
              <w:rPr>
                <w:rFonts w:ascii="Calibri" w:hAnsi="Calibri"/>
                <w:sz w:val="22"/>
              </w:rPr>
              <w:t>Stable near post-print baseline; peaked at $1,328M in late May then retreated</w:t>
            </w:r>
          </w:p>
        </w:tc>
      </w:tr>
      <w:tr>
        <w:tc>
          <w:tcPr>
            <w:tcW w:type="dxa" w:w="1440"/>
          </w:tcPr>
          <w:p>
            <w:r>
              <w:rPr>
                <w:rFonts w:ascii="Calibri" w:hAnsi="Calibri"/>
                <w:sz w:val="22"/>
              </w:rPr>
              <w:t>Adj. EBITDA — FY 2026</w:t>
            </w:r>
          </w:p>
        </w:tc>
        <w:tc>
          <w:tcPr>
            <w:tcW w:type="dxa" w:w="1440"/>
          </w:tcPr>
          <w:p>
            <w:r>
              <w:rPr>
                <w:rFonts w:ascii="Calibri" w:hAnsi="Calibri"/>
                <w:sz w:val="22"/>
              </w:rPr>
              <w:t>$5,194M</w:t>
            </w:r>
          </w:p>
        </w:tc>
        <w:tc>
          <w:tcPr>
            <w:tcW w:type="dxa" w:w="1440"/>
          </w:tcPr>
          <w:p>
            <w:r>
              <w:rPr>
                <w:rFonts w:ascii="Calibri" w:hAnsi="Calibri"/>
                <w:sz w:val="22"/>
              </w:rPr>
              <w:t>$5,303M</w:t>
            </w:r>
          </w:p>
        </w:tc>
        <w:tc>
          <w:tcPr>
            <w:tcW w:type="dxa" w:w="1440"/>
          </w:tcPr>
          <w:p>
            <w:r>
              <w:rPr>
                <w:rFonts w:ascii="Calibri" w:hAnsi="Calibri"/>
                <w:sz w:val="22"/>
              </w:rPr>
              <w:t>+2.1%</w:t>
            </w:r>
          </w:p>
        </w:tc>
        <w:tc>
          <w:tcPr>
            <w:tcW w:type="dxa" w:w="1440"/>
          </w:tcPr>
          <w:p>
            <w:r>
              <w:rPr>
                <w:rFonts w:ascii="Calibri" w:hAnsi="Calibri"/>
                <w:sz w:val="22"/>
              </w:rPr>
              <w:t>~$5,300M (reaffirmed)</w:t>
            </w:r>
          </w:p>
        </w:tc>
        <w:tc>
          <w:tcPr>
            <w:tcW w:type="dxa" w:w="1440"/>
          </w:tcPr>
          <w:p>
            <w:r>
              <w:rPr>
                <w:rFonts w:ascii="Calibri" w:hAnsi="Calibri"/>
                <w:sz w:val="22"/>
              </w:rPr>
              <w:t>Consensus essentially at guidance midpoint; no gap</w:t>
            </w:r>
          </w:p>
        </w:tc>
      </w:tr>
      <w:tr>
        <w:tc>
          <w:tcPr>
            <w:tcW w:type="dxa" w:w="1440"/>
          </w:tcPr>
          <w:p>
            <w:r>
              <w:rPr>
                <w:rFonts w:ascii="Calibri" w:hAnsi="Calibri"/>
                <w:sz w:val="22"/>
              </w:rPr>
              <w:t>Op. EPS — Q2 2026</w:t>
            </w:r>
          </w:p>
        </w:tc>
        <w:tc>
          <w:tcPr>
            <w:tcW w:type="dxa" w:w="1440"/>
          </w:tcPr>
          <w:p>
            <w:r>
              <w:rPr>
                <w:rFonts w:ascii="Calibri" w:hAnsi="Calibri"/>
                <w:sz w:val="22"/>
              </w:rPr>
              <w:t>$1.95</w:t>
            </w:r>
          </w:p>
        </w:tc>
        <w:tc>
          <w:tcPr>
            <w:tcW w:type="dxa" w:w="1440"/>
          </w:tcPr>
          <w:p>
            <w:r>
              <w:rPr>
                <w:rFonts w:ascii="Calibri" w:hAnsi="Calibri"/>
                <w:sz w:val="22"/>
              </w:rPr>
              <w:t>$1.66</w:t>
            </w:r>
          </w:p>
        </w:tc>
        <w:tc>
          <w:tcPr>
            <w:tcW w:type="dxa" w:w="1440"/>
          </w:tcPr>
          <w:p>
            <w:r>
              <w:rPr>
                <w:rFonts w:ascii="Calibri" w:hAnsi="Calibri"/>
                <w:sz w:val="22"/>
              </w:rPr>
              <w:t>-14.9%</w:t>
            </w:r>
          </w:p>
        </w:tc>
        <w:tc>
          <w:tcPr>
            <w:tcW w:type="dxa" w:w="1440"/>
          </w:tcPr>
          <w:p>
            <w:r>
              <w:rPr>
                <w:rFonts w:ascii="Calibri" w:hAnsi="Calibri"/>
                <w:sz w:val="22"/>
              </w:rPr>
              <w:t>N/A (quarterly)</w:t>
            </w:r>
          </w:p>
        </w:tc>
        <w:tc>
          <w:tcPr>
            <w:tcW w:type="dxa" w:w="1440"/>
          </w:tcPr>
          <w:p>
            <w:r>
              <w:rPr>
                <w:rFonts w:ascii="Calibri" w:hAnsi="Calibri"/>
                <w:sz w:val="22"/>
              </w:rPr>
              <w:t>Meaningful downward revision since Q1 print; peaked at $2.13 in late May</w:t>
            </w:r>
          </w:p>
        </w:tc>
      </w:tr>
      <w:tr>
        <w:tc>
          <w:tcPr>
            <w:tcW w:type="dxa" w:w="1440"/>
          </w:tcPr>
          <w:p>
            <w:r>
              <w:rPr>
                <w:rFonts w:ascii="Calibri" w:hAnsi="Calibri"/>
                <w:sz w:val="22"/>
              </w:rPr>
              <w:t>Op. EPS — FY 2026</w:t>
            </w:r>
          </w:p>
        </w:tc>
        <w:tc>
          <w:tcPr>
            <w:tcW w:type="dxa" w:w="1440"/>
          </w:tcPr>
          <w:p>
            <w:r>
              <w:rPr>
                <w:rFonts w:ascii="Calibri" w:hAnsi="Calibri"/>
                <w:sz w:val="22"/>
              </w:rPr>
              <w:t>$8.77</w:t>
            </w:r>
          </w:p>
        </w:tc>
        <w:tc>
          <w:tcPr>
            <w:tcW w:type="dxa" w:w="1440"/>
          </w:tcPr>
          <w:p>
            <w:r>
              <w:rPr>
                <w:rFonts w:ascii="Calibri" w:hAnsi="Calibri"/>
                <w:sz w:val="22"/>
              </w:rPr>
              <w:t>$9.01</w:t>
            </w:r>
          </w:p>
        </w:tc>
        <w:tc>
          <w:tcPr>
            <w:tcW w:type="dxa" w:w="1440"/>
          </w:tcPr>
          <w:p>
            <w:r>
              <w:rPr>
                <w:rFonts w:ascii="Calibri" w:hAnsi="Calibri"/>
                <w:sz w:val="22"/>
              </w:rPr>
              <w:t>+2.7%</w:t>
            </w:r>
          </w:p>
        </w:tc>
        <w:tc>
          <w:tcPr>
            <w:tcW w:type="dxa" w:w="1440"/>
          </w:tcPr>
          <w:p>
            <w:r>
              <w:rPr>
                <w:rFonts w:ascii="Calibri" w:hAnsi="Calibri"/>
                <w:sz w:val="22"/>
              </w:rPr>
              <w:t>~$9.01 (implied)</w:t>
            </w:r>
          </w:p>
        </w:tc>
        <w:tc>
          <w:tcPr>
            <w:tcW w:type="dxa" w:w="1440"/>
          </w:tcPr>
          <w:p>
            <w:r>
              <w:rPr>
                <w:rFonts w:ascii="Calibri" w:hAnsi="Calibri"/>
                <w:sz w:val="22"/>
              </w:rPr>
              <w:t>FY EPS has drifted modestly higher since Q1 print; constructive</w:t>
            </w:r>
          </w:p>
        </w:tc>
      </w:tr>
    </w:tbl>
    <w:p>
      <w:r>
        <w:rPr>
          <w:rFonts w:ascii="Calibri" w:hAnsi="Calibri"/>
          <w:i/>
          <w:color w:val="525866"/>
          <w:sz w:val="22"/>
        </w:rPr>
        <w:t>Source: Visible Alpha Consensus and Actuals Data (weekly revision history, May 8 – August 4, 2026). The divergence between Q2 EBITDA (down ~15% from peak) and FY EBITDA (up ~2% from post-print baseline) suggests the Street is treating Q2 as a transitional quarter and keeping the full-year thesis intact — a setup that rewards any positive Q2 surprise disproportionately.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NRG has underperformed both XLU and the S&amp;P 500 since the Q1 print, driven primarily by multiple compression (NTM EV/EBITDA from ~9.1x to ~8.8x) rather than estimate cuts — the stock is pricing in execution risk, not a fundamental deterioration, which means a clean Q2 print could close the gap quickly.</w:t>
      </w:r>
    </w:p>
    <w:p>
      <w:r>
        <w:rPr>
          <w:rFonts w:ascii="Calibri" w:hAnsi="Calibri"/>
          <w:color w:val="525866"/>
          <w:sz w:val="22"/>
        </w:rPr>
        <w:t xml:space="preserve">Since the Q1 2026 earnings date (May 6, 2026), NRG has declined approximately </w:t>
      </w:r>
      <w:r>
        <w:rPr>
          <w:rFonts w:ascii="Calibri" w:hAnsi="Calibri"/>
          <w:b/>
          <w:color w:val="525866"/>
          <w:sz w:val="22"/>
        </w:rPr>
        <w:t>-8.1%</w:t>
      </w:r>
      <w:r>
        <w:rPr>
          <w:rFonts w:ascii="Calibri" w:hAnsi="Calibri"/>
          <w:color w:val="525866"/>
          <w:sz w:val="22"/>
        </w:rPr>
        <w:t xml:space="preserve"> (from $150.64 to $138.47 as of August 4, 2026), while XLU is roughly flat (-3.0%, from $45.71 to $44.36) and the S&amp;P 500 (SPY) is up approximately </w:t>
      </w:r>
      <w:r>
        <w:rPr>
          <w:rFonts w:ascii="Calibri" w:hAnsi="Calibri"/>
          <w:b/>
          <w:color w:val="525866"/>
          <w:sz w:val="22"/>
        </w:rPr>
        <w:t>+3.2%</w:t>
      </w:r>
      <w:r>
        <w:rPr>
          <w:rFonts w:ascii="Calibri" w:hAnsi="Calibri"/>
          <w:color w:val="525866"/>
          <w:sz w:val="22"/>
        </w:rPr>
        <w:t xml:space="preserve"> (from $733.83 to $757.67). The underperformance is concentrated in two distinct legs: (1) an initial sell-off from $150.64 to ~$120.65 (June 10 trough, -19.9%) driven by the Q1 EPS miss and mild-weather narrative, and (2) a partial recovery to ~$149 in late June before a second leg lower to ~$124 in late July, likely reflecting data-center deal uncertainty and broader sector rotation. The stock has recovered modestly into the print ($138.47), suggesting some positioning ahead of results. The NTM EV/EBITDA multiple has compressed from ~9.1x (12 months ago) to ~8.8x currently, with the 3-month and 6-month windows showing multiple expansion of ~10% — meaning the stock's decline has been more than explained by estimate cuts, and the multiple has actually re-rated slightly higher on a 3–6 month basis, a constructive signal.</w:t>
      </w:r>
    </w:p>
    <w:p>
      <w:r>
        <w:rPr>
          <w:rFonts w:ascii="Calibri" w:hAnsi="Calibri"/>
          <w:b/>
          <w:color w:val="525866"/>
          <w:sz w:val="22"/>
        </w:rPr>
        <w:t>Indexed Performance (Base = 100 at May 6, 2026 Close):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NRG (Indexed)</w:t>
            </w:r>
          </w:p>
        </w:tc>
        <w:tc>
          <w:tcPr>
            <w:tcW w:type="dxa" w:w="2160"/>
            <w:shd w:val="clear" w:color="auto" w:fill="3B4259"/>
          </w:tcPr>
          <w:p>
            <w:r>
              <w:rPr>
                <w:rFonts w:ascii="Calibri" w:hAnsi="Calibri"/>
                <w:b/>
                <w:color w:val="FFFFFF"/>
                <w:sz w:val="22"/>
              </w:rPr>
              <w:t>XLU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6, 2026 (Q1 Print)</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84.8</w:t>
            </w:r>
          </w:p>
        </w:tc>
        <w:tc>
          <w:tcPr>
            <w:tcW w:type="dxa" w:w="2160"/>
          </w:tcPr>
          <w:p>
            <w:r>
              <w:rPr>
                <w:rFonts w:ascii="Calibri" w:hAnsi="Calibri"/>
                <w:sz w:val="22"/>
              </w:rPr>
              <w:t>95.9</w:t>
            </w:r>
          </w:p>
        </w:tc>
        <w:tc>
          <w:tcPr>
            <w:tcW w:type="dxa" w:w="2160"/>
          </w:tcPr>
          <w:p>
            <w:r>
              <w:rPr>
                <w:rFonts w:ascii="Calibri" w:hAnsi="Calibri"/>
                <w:sz w:val="22"/>
              </w:rPr>
              <w:t>100.7</w:t>
            </w:r>
          </w:p>
        </w:tc>
      </w:tr>
      <w:tr>
        <w:tc>
          <w:tcPr>
            <w:tcW w:type="dxa" w:w="2160"/>
          </w:tcPr>
          <w:p>
            <w:r>
              <w:rPr>
                <w:rFonts w:ascii="Calibri" w:hAnsi="Calibri"/>
                <w:sz w:val="22"/>
              </w:rPr>
              <w:t>May 29, 2026</w:t>
            </w:r>
          </w:p>
        </w:tc>
        <w:tc>
          <w:tcPr>
            <w:tcW w:type="dxa" w:w="2160"/>
          </w:tcPr>
          <w:p>
            <w:r>
              <w:rPr>
                <w:rFonts w:ascii="Calibri" w:hAnsi="Calibri"/>
                <w:sz w:val="22"/>
              </w:rPr>
              <w:t>89.0</w:t>
            </w:r>
          </w:p>
        </w:tc>
        <w:tc>
          <w:tcPr>
            <w:tcW w:type="dxa" w:w="2160"/>
          </w:tcPr>
          <w:p>
            <w:r>
              <w:rPr>
                <w:rFonts w:ascii="Calibri" w:hAnsi="Calibri"/>
                <w:sz w:val="22"/>
              </w:rPr>
              <w:t>97.2</w:t>
            </w:r>
          </w:p>
        </w:tc>
        <w:tc>
          <w:tcPr>
            <w:tcW w:type="dxa" w:w="2160"/>
          </w:tcPr>
          <w:p>
            <w:r>
              <w:rPr>
                <w:rFonts w:ascii="Calibri" w:hAnsi="Calibri"/>
                <w:sz w:val="22"/>
              </w:rPr>
              <w:t>103.1</w:t>
            </w:r>
          </w:p>
        </w:tc>
      </w:tr>
      <w:tr>
        <w:tc>
          <w:tcPr>
            <w:tcW w:type="dxa" w:w="2160"/>
          </w:tcPr>
          <w:p>
            <w:r>
              <w:rPr>
                <w:rFonts w:ascii="Calibri" w:hAnsi="Calibri"/>
                <w:sz w:val="22"/>
              </w:rPr>
              <w:t>Jun 10, 2026 (Trough)</w:t>
            </w:r>
          </w:p>
        </w:tc>
        <w:tc>
          <w:tcPr>
            <w:tcW w:type="dxa" w:w="2160"/>
          </w:tcPr>
          <w:p>
            <w:r>
              <w:rPr>
                <w:rFonts w:ascii="Calibri" w:hAnsi="Calibri"/>
                <w:b/>
                <w:color w:val="E5484D"/>
                <w:sz w:val="22"/>
              </w:rPr>
              <w:t>80.1</w:t>
            </w:r>
          </w:p>
        </w:tc>
        <w:tc>
          <w:tcPr>
            <w:tcW w:type="dxa" w:w="2160"/>
          </w:tcPr>
          <w:p>
            <w:r>
              <w:rPr>
                <w:rFonts w:ascii="Calibri" w:hAnsi="Calibri"/>
                <w:sz w:val="22"/>
              </w:rPr>
              <w:t>96.3</w:t>
            </w:r>
          </w:p>
        </w:tc>
        <w:tc>
          <w:tcPr>
            <w:tcW w:type="dxa" w:w="2160"/>
          </w:tcPr>
          <w:p>
            <w:r>
              <w:rPr>
                <w:rFonts w:ascii="Calibri" w:hAnsi="Calibri"/>
                <w:sz w:val="22"/>
              </w:rPr>
              <w:t>98.8</w:t>
            </w:r>
          </w:p>
        </w:tc>
      </w:tr>
      <w:tr>
        <w:tc>
          <w:tcPr>
            <w:tcW w:type="dxa" w:w="2160"/>
          </w:tcPr>
          <w:p>
            <w:r>
              <w:rPr>
                <w:rFonts w:ascii="Calibri" w:hAnsi="Calibri"/>
                <w:sz w:val="22"/>
              </w:rPr>
              <w:t>Jun 26, 2026 (Recovery Peak)</w:t>
            </w:r>
          </w:p>
        </w:tc>
        <w:tc>
          <w:tcPr>
            <w:tcW w:type="dxa" w:w="2160"/>
          </w:tcPr>
          <w:p>
            <w:r>
              <w:rPr>
                <w:rFonts w:ascii="Calibri" w:hAnsi="Calibri"/>
                <w:b/>
                <w:color w:val="30A46C"/>
                <w:sz w:val="22"/>
              </w:rPr>
              <w:t>99.1</w:t>
            </w:r>
          </w:p>
        </w:tc>
        <w:tc>
          <w:tcPr>
            <w:tcW w:type="dxa" w:w="2160"/>
          </w:tcPr>
          <w:p>
            <w:r>
              <w:rPr>
                <w:rFonts w:ascii="Calibri" w:hAnsi="Calibri"/>
                <w:sz w:val="22"/>
              </w:rPr>
              <w:t>101.1</w:t>
            </w:r>
          </w:p>
        </w:tc>
        <w:tc>
          <w:tcPr>
            <w:tcW w:type="dxa" w:w="2160"/>
          </w:tcPr>
          <w:p>
            <w:r>
              <w:rPr>
                <w:rFonts w:ascii="Calibri" w:hAnsi="Calibri"/>
                <w:sz w:val="22"/>
              </w:rPr>
              <w:t>99.3</w:t>
            </w:r>
          </w:p>
        </w:tc>
      </w:tr>
      <w:tr>
        <w:tc>
          <w:tcPr>
            <w:tcW w:type="dxa" w:w="2160"/>
          </w:tcPr>
          <w:p>
            <w:r>
              <w:rPr>
                <w:rFonts w:ascii="Calibri" w:hAnsi="Calibri"/>
                <w:sz w:val="22"/>
              </w:rPr>
              <w:t>Jul 29, 2026 (Second Trough)</w:t>
            </w:r>
          </w:p>
        </w:tc>
        <w:tc>
          <w:tcPr>
            <w:tcW w:type="dxa" w:w="2160"/>
          </w:tcPr>
          <w:p>
            <w:r>
              <w:rPr>
                <w:rFonts w:ascii="Calibri" w:hAnsi="Calibri"/>
                <w:b/>
                <w:color w:val="E5484D"/>
                <w:sz w:val="22"/>
              </w:rPr>
              <w:t>82.5</w:t>
            </w:r>
          </w:p>
        </w:tc>
        <w:tc>
          <w:tcPr>
            <w:tcW w:type="dxa" w:w="2160"/>
          </w:tcPr>
          <w:p>
            <w:r>
              <w:rPr>
                <w:rFonts w:ascii="Calibri" w:hAnsi="Calibri"/>
                <w:sz w:val="22"/>
              </w:rPr>
              <w:t>98.2</w:t>
            </w:r>
          </w:p>
        </w:tc>
        <w:tc>
          <w:tcPr>
            <w:tcW w:type="dxa" w:w="2160"/>
          </w:tcPr>
          <w:p>
            <w:r>
              <w:rPr>
                <w:rFonts w:ascii="Calibri" w:hAnsi="Calibri"/>
                <w:sz w:val="22"/>
              </w:rPr>
              <w:t>99.4</w:t>
            </w:r>
          </w:p>
        </w:tc>
      </w:tr>
      <w:tr>
        <w:tc>
          <w:tcPr>
            <w:tcW w:type="dxa" w:w="2160"/>
          </w:tcPr>
          <w:p>
            <w:r>
              <w:rPr>
                <w:rFonts w:ascii="Calibri" w:hAnsi="Calibri"/>
                <w:sz w:val="22"/>
              </w:rPr>
              <w:t>Aug 4, 2026 (Today)</w:t>
            </w:r>
          </w:p>
        </w:tc>
        <w:tc>
          <w:tcPr>
            <w:tcW w:type="dxa" w:w="2160"/>
          </w:tcPr>
          <w:p>
            <w:r>
              <w:rPr>
                <w:rFonts w:ascii="Calibri" w:hAnsi="Calibri"/>
                <w:sz w:val="22"/>
              </w:rPr>
              <w:t>91.9</w:t>
            </w:r>
          </w:p>
        </w:tc>
        <w:tc>
          <w:tcPr>
            <w:tcW w:type="dxa" w:w="2160"/>
          </w:tcPr>
          <w:p>
            <w:r>
              <w:rPr>
                <w:rFonts w:ascii="Calibri" w:hAnsi="Calibri"/>
                <w:sz w:val="22"/>
              </w:rPr>
              <w:t>97.0</w:t>
            </w:r>
          </w:p>
        </w:tc>
        <w:tc>
          <w:tcPr>
            <w:tcW w:type="dxa" w:w="2160"/>
          </w:tcPr>
          <w:p>
            <w:r>
              <w:rPr>
                <w:rFonts w:ascii="Calibri" w:hAnsi="Calibri"/>
                <w:sz w:val="22"/>
              </w:rPr>
              <w:t>103.2</w:t>
            </w:r>
          </w:p>
        </w:tc>
      </w:tr>
    </w:tbl>
    <w:p>
      <w:r>
        <w:rPr>
          <w:rFonts w:ascii="Calibri" w:hAnsi="Calibri"/>
          <w:i/>
          <w:color w:val="525866"/>
          <w:sz w:val="22"/>
        </w:rPr>
        <w:t>Source: Stock Price Data (Yahoo Finance). Sector ETF: XLU (Utilities Select Sector SPDR Fund) — appropriate for NRG given its classification as an independent power producer within the utilities sector. Key events: Q1 2026 earnings miss (May 6); $3.5B refinancing close (Apr 28, disclosed May 6); T.H. Wharton TEF project online (May, per guidance); PJM 2028/29 capacity auction results (July 14).</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NRG clearing 6,839 MW in the PJM 2028/29 capacity auction at $325/MW-day (July 14) — a strong forward revenue signal for the East segment. The $3.5B refinancing close and T.H. Wharton TEF project coming online are the other material execution milestones.</w:t>
      </w:r>
    </w:p>
    <w:p>
      <w:pPr>
        <w:pStyle w:val="ListBullet"/>
        <w:ind w:left="360" w:hanging="360"/>
      </w:pPr>
      <w:r>
        <w:rPr>
          <w:rFonts w:ascii="Calibri" w:hAnsi="Calibri"/>
          <w:b/>
          <w:color w:val="525866"/>
          <w:sz w:val="22"/>
        </w:rPr>
        <w:t xml:space="preserve">July 14, 2026 — PJM 2028/29 Capacity Auction: </w:t>
      </w:r>
      <w:r>
        <w:rPr>
          <w:rFonts w:ascii="Calibri" w:hAnsi="Calibri"/>
          <w:color w:val="525866"/>
          <w:sz w:val="22"/>
        </w:rPr>
        <w:t>NRG cleared 6,839 MW at an average price of $325/MW-day, consistent with peers VST (10,924 MW) and CEG (18,875 MW) at the same clearing price. This locks in meaningful capacity revenue for the 2028/29 delivery year and validates the East segment's competitive positioning. Implication: Positive for long-term East segment EBITDA visibility; management likely to highlight on the Q2 call.</w:t>
      </w:r>
    </w:p>
    <w:p>
      <w:pPr>
        <w:pStyle w:val="ListBullet"/>
        <w:ind w:left="360" w:hanging="360"/>
      </w:pPr>
      <w:r>
        <w:rPr>
          <w:rFonts w:ascii="Calibri" w:hAnsi="Calibri"/>
          <w:b/>
          <w:color w:val="525866"/>
          <w:sz w:val="22"/>
        </w:rPr>
        <w:t xml:space="preserve">May 6, 2026 — Q1 2026 Earnings / CEO Transition: </w:t>
      </w:r>
      <w:r>
        <w:rPr>
          <w:rFonts w:ascii="Calibri" w:hAnsi="Calibri"/>
          <w:color w:val="525866"/>
          <w:sz w:val="22"/>
        </w:rPr>
        <w:t>New CEO Robert Gaudette (effective April 30) led his first earnings call, reaffirming all 2026 guidance and signaling urgency on data-center deal execution ("to hit '29, we've got to get something done in '26"). Tone was constructive despite the EPS miss. Implication: Sets a high bar for deal announcement at or before Q2 print.</w:t>
      </w:r>
    </w:p>
    <w:p>
      <w:pPr>
        <w:pStyle w:val="ListBullet"/>
        <w:ind w:left="360" w:hanging="360"/>
      </w:pPr>
      <w:r>
        <w:rPr>
          <w:rFonts w:ascii="Calibri" w:hAnsi="Calibri"/>
          <w:b/>
          <w:color w:val="525866"/>
          <w:sz w:val="22"/>
        </w:rPr>
        <w:t xml:space="preserve">April 28, 2026 — $3.5B Refinancing Closed: </w:t>
      </w:r>
      <w:r>
        <w:rPr>
          <w:rFonts w:ascii="Calibri" w:hAnsi="Calibri"/>
          <w:color w:val="525866"/>
          <w:sz w:val="22"/>
        </w:rPr>
        <w:t>NRG closed $3.5B of new financing, retiring $1.5B Lightning senior secured notes and reducing revolver borrowings, consistent with the 3x net leverage target. Expected to generate &gt;$10M in annual net interest savings and pave the way for ring-fencing removal. Implication: Balance sheet de-risking on track; supports capital return commitments.</w:t>
      </w:r>
    </w:p>
    <w:p>
      <w:pPr>
        <w:pStyle w:val="ListBullet"/>
        <w:ind w:left="360" w:hanging="360"/>
      </w:pPr>
      <w:r>
        <w:rPr>
          <w:rFonts w:ascii="Calibri" w:hAnsi="Calibri"/>
          <w:b/>
          <w:color w:val="525866"/>
          <w:sz w:val="22"/>
        </w:rPr>
        <w:t xml:space="preserve">May 2026 — T.H. Wharton TEF Project Online: </w:t>
      </w:r>
      <w:r>
        <w:rPr>
          <w:rFonts w:ascii="Calibri" w:hAnsi="Calibri"/>
          <w:color w:val="525866"/>
          <w:sz w:val="22"/>
        </w:rPr>
        <w:t>NRG's first Texas Energy Fund project came online on time, on cost, and on spec, qualifying for the TEF Completion Bonus. Cedar Bayou and Greens Bayou remain on track for end-of-2028 COD. Implication: Execution credibility on new capacity development; TEF bonus is incremental EBITDA.</w:t>
      </w:r>
    </w:p>
    <w:p>
      <w:pPr>
        <w:pStyle w:val="ListBullet"/>
        <w:ind w:left="360" w:hanging="360"/>
      </w:pPr>
      <w:r>
        <w:rPr>
          <w:rFonts w:ascii="Calibri" w:hAnsi="Calibri"/>
          <w:b/>
          <w:color w:val="525866"/>
          <w:sz w:val="22"/>
        </w:rPr>
        <w:t xml:space="preserve">Q1 2026 Call — PJM Uprate Opportunity Expanded to 2 GW: </w:t>
      </w:r>
      <w:r>
        <w:rPr>
          <w:rFonts w:ascii="Calibri" w:hAnsi="Calibri"/>
          <w:color w:val="525866"/>
          <w:sz w:val="22"/>
        </w:rPr>
        <w:t>Management expanded the PJM uprate/conversion opportunity from 1 GW to up to 2 GW as due diligence on LS Power assets deepened. Bilateral contracting and PJM Reliability Backstop Procurement both cited as pathways. Implication: Incremental upside to East segment capacity and energy revenue not in base guidance.</w:t>
      </w:r>
    </w:p>
    <w:p>
      <w:pPr>
        <w:pStyle w:val="ListBullet"/>
        <w:ind w:left="360" w:hanging="360"/>
      </w:pPr>
      <w:r>
        <w:rPr>
          <w:rFonts w:ascii="Calibri" w:hAnsi="Calibri"/>
          <w:b/>
          <w:color w:val="525866"/>
          <w:sz w:val="22"/>
        </w:rPr>
        <w:t xml:space="preserve">Q1 2026 Call — Data Center Pipeline Active: </w:t>
      </w:r>
      <w:r>
        <w:rPr>
          <w:rFonts w:ascii="Calibri" w:hAnsi="Calibri"/>
          <w:color w:val="525866"/>
          <w:sz w:val="22"/>
        </w:rPr>
        <w:t>Contracted capacity grew from 295 MW to 445 MW in one quarter; pipeline up 35%. Pricing expectations described as above the prior $90–$95/MWh ceiling. Infrastructure (interconnections, gas supply) identified as primary remaining complexity. Implication: Deal announcement is the single largest potential catalyst for the stock.</w:t>
      </w:r>
    </w:p>
    <w:p>
      <w:pPr>
        <w:pStyle w:val="ListBullet"/>
        <w:ind w:left="360" w:hanging="360"/>
      </w:pPr>
      <w:r>
        <w:rPr>
          <w:rFonts w:ascii="Calibri" w:hAnsi="Calibri"/>
          <w:b/>
          <w:color w:val="525866"/>
          <w:sz w:val="22"/>
        </w:rPr>
        <w:t xml:space="preserve">Q1 2026 Call — Smart Home / VPP Scaling: </w:t>
      </w:r>
      <w:r>
        <w:rPr>
          <w:rFonts w:ascii="Calibri" w:hAnsi="Calibri"/>
          <w:color w:val="525866"/>
          <w:sz w:val="22"/>
        </w:rPr>
        <w:t>Smart Home net customer growth running well ahead of long-term plan targets; VPP expansion beyond Texas to East markets announced. Implication: Recurring revenue base growing faster than expected; VPP creates supply-side optionality.</w:t>
      </w:r>
    </w:p>
    <w:p>
      <w:r>
        <w:br w:type="page"/>
      </w:r>
    </w:p>
    <w:p>
      <w:pPr>
        <w:pStyle w:val="Heading2"/>
      </w:pPr>
      <w:r>
        <w:rPr>
          <w:rFonts w:ascii="Calibri" w:hAnsi="Calibri"/>
          <w:b/>
          <w:color w:val="3B4259"/>
          <w:sz w:val="28"/>
        </w:rPr>
        <w:t>7. Peer Commentaries / Read-Throughs (Last 60 Days)</w:t>
      </w:r>
    </w:p>
    <w:p>
      <w:r>
        <w:rPr>
          <w:rFonts w:ascii="Calibri" w:hAnsi="Calibri"/>
          <w:b/>
          <w:color w:val="525866"/>
          <w:sz w:val="22"/>
        </w:rPr>
        <w:t xml:space="preserve">Key Takeaway: </w:t>
      </w:r>
      <w:r>
        <w:rPr>
          <w:rFonts w:ascii="Calibri" w:hAnsi="Calibri"/>
          <w:color w:val="525866"/>
          <w:sz w:val="22"/>
        </w:rPr>
        <w:t>Qualifying peer commentary in the June 5 – August 4, 2026 window is narrow but meaningful: the July 14 PJM 2028/29 capacity auction disclosures from VST and CEG confirm a $325/MW-day clearing price across all zones — a strong forward signal for NRG's East segment capacity revenue. PEG filed an 8-K on July 1 but it contained no qualifying current-quarter or forward-outlook commentary.</w:t>
      </w:r>
    </w:p>
    <w:p>
      <w:r>
        <w:rPr>
          <w:rFonts w:ascii="Calibri" w:hAnsi="Calibri"/>
          <w:b/>
          <w:color w:val="525866"/>
          <w:sz w:val="22"/>
        </w:rPr>
        <w:t xml:space="preserve">Scope &amp; Methodology: </w:t>
      </w:r>
      <w:r>
        <w:rPr>
          <w:rFonts w:ascii="Calibri" w:hAnsi="Calibri"/>
          <w:color w:val="525866"/>
          <w:sz w:val="22"/>
        </w:rPr>
        <w:t>This section includes only peer disclosures made between June 5, 2026 and August 4, 2026 that address the current reporting quarter (Q2 2026) or forward outlook. Retrospective Q1 2026 earnings commentary from peers (reported in late April / early May) is explicitly excluded. The three primary read-through peers for NRG are Vistra (VST), Constellation Energy (CEG), and PSEG (PEG). Note that VST reports Q2 2026 results on August 7, 2026 — after NRG's print — so no VST Q2 earnings commentary is available for this preview.</w:t>
      </w:r>
    </w:p>
    <w:p>
      <w:pPr>
        <w:pStyle w:val="Heading3"/>
      </w:pPr>
      <w:r>
        <w:rPr>
          <w:rFonts w:ascii="Calibri" w:hAnsi="Calibri"/>
          <w:b/>
          <w:color w:val="3B4259"/>
          <w:sz w:val="24"/>
        </w:rPr>
        <w:t>VST — Vistra Corp. ★★★★★ (Highest Read-Through Relevance)</w:t>
      </w:r>
    </w:p>
    <w:p>
      <w:r>
        <w:rPr>
          <w:rFonts w:ascii="Calibri" w:hAnsi="Calibri"/>
          <w:b/>
          <w:color w:val="525866"/>
          <w:sz w:val="22"/>
        </w:rPr>
        <w:t xml:space="preserve">Qualifying Disclosures: </w:t>
      </w:r>
      <w:r>
        <w:rPr>
          <w:rFonts w:ascii="Calibri" w:hAnsi="Calibri"/>
          <w:color w:val="525866"/>
          <w:sz w:val="22"/>
        </w:rPr>
        <w:t>8-K filed July 14, 2026 (PJM 2028/29 Capacity Auction Results); 8-K filed July 16, 2026 (Receivables Facility Amendment); 8-K filed June 30, 2026 (Revolving Credit Facility Expansion)</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VST Disclosure (Date)</w:t>
            </w:r>
          </w:p>
        </w:tc>
        <w:tc>
          <w:tcPr>
            <w:tcW w:type="dxa" w:w="2880"/>
            <w:shd w:val="clear" w:color="auto" w:fill="3B4259"/>
          </w:tcPr>
          <w:p>
            <w:r>
              <w:rPr>
                <w:rFonts w:ascii="Calibri" w:hAnsi="Calibri"/>
                <w:b/>
                <w:color w:val="FFFFFF"/>
                <w:sz w:val="22"/>
              </w:rPr>
              <w:t>NRG Read-Through / Implication</w:t>
            </w:r>
          </w:p>
        </w:tc>
      </w:tr>
      <w:tr>
        <w:tc>
          <w:tcPr>
            <w:tcW w:type="dxa" w:w="2880"/>
          </w:tcPr>
          <w:p>
            <w:r>
              <w:rPr>
                <w:rFonts w:ascii="Calibri" w:hAnsi="Calibri"/>
                <w:sz w:val="22"/>
              </w:rPr>
              <w:t>PJM 2028/29 Capacity Auction</w:t>
            </w:r>
          </w:p>
        </w:tc>
        <w:tc>
          <w:tcPr>
            <w:tcW w:type="dxa" w:w="2880"/>
          </w:tcPr>
          <w:p>
            <w:r>
              <w:rPr>
                <w:rFonts w:ascii="Calibri" w:hAnsi="Calibri"/>
                <w:sz w:val="22"/>
              </w:rPr>
              <w:t>VST cleared 10,924 MW at a weighted average clearing price of $325/MW-day across all PJM zones (RTO, COMED, DEOK, EMAAC, MAAC, ATSI, DOM). Disclosed July 14, 2026 via 8-K.</w:t>
            </w:r>
          </w:p>
        </w:tc>
        <w:tc>
          <w:tcPr>
            <w:tcW w:type="dxa" w:w="2880"/>
          </w:tcPr>
          <w:p>
            <w:r>
              <w:rPr>
                <w:rFonts w:ascii="Calibri" w:hAnsi="Calibri"/>
                <w:sz w:val="22"/>
              </w:rPr>
              <w:t>Directly confirms the $325/MW-day clearing price that NRG also received for its 6,839 MW. Validates East segment capacity revenue outlook for the 2028/29 delivery year. Consistent clearing price across all zones removes zone-specific risk. Management likely to reference this on the Q2 call as a forward revenue anchor.</w:t>
            </w:r>
          </w:p>
        </w:tc>
      </w:tr>
      <w:tr>
        <w:tc>
          <w:tcPr>
            <w:tcW w:type="dxa" w:w="2880"/>
          </w:tcPr>
          <w:p>
            <w:r>
              <w:rPr>
                <w:rFonts w:ascii="Calibri" w:hAnsi="Calibri"/>
                <w:sz w:val="22"/>
              </w:rPr>
              <w:t>Receivables Facility &amp; Revolving Credit</w:t>
            </w:r>
          </w:p>
        </w:tc>
        <w:tc>
          <w:tcPr>
            <w:tcW w:type="dxa" w:w="2880"/>
          </w:tcPr>
          <w:p>
            <w:r>
              <w:rPr>
                <w:rFonts w:ascii="Calibri" w:hAnsi="Calibri"/>
                <w:sz w:val="22"/>
              </w:rPr>
              <w:t>VST amended and extended its $1.25B receivables securitization facility (July 16) and boosted its revolving credit facility to $5.5B (June 30).</w:t>
            </w:r>
          </w:p>
        </w:tc>
        <w:tc>
          <w:tcPr>
            <w:tcW w:type="dxa" w:w="2880"/>
          </w:tcPr>
          <w:p>
            <w:r>
              <w:rPr>
                <w:rFonts w:ascii="Calibri" w:hAnsi="Calibri"/>
                <w:sz w:val="22"/>
              </w:rPr>
              <w:t>Signals sector-wide access to liquidity at favorable terms. Constructive read-through for NRG's own post-refinancing balance sheet management and deleveraging trajectory toward 3x net leverage target.</w:t>
            </w:r>
          </w:p>
        </w:tc>
      </w:tr>
    </w:tbl>
    <w:p>
      <w:r>
        <w:rPr>
          <w:rFonts w:ascii="Calibri" w:hAnsi="Calibri"/>
          <w:b/>
          <w:color w:val="525866"/>
          <w:sz w:val="22"/>
        </w:rPr>
        <w:t xml:space="preserve">Note on Excluded VST Commentary: </w:t>
      </w:r>
      <w:r>
        <w:rPr>
          <w:rFonts w:ascii="Calibri" w:hAnsi="Calibri"/>
          <w:i/>
          <w:color w:val="525866"/>
          <w:sz w:val="22"/>
        </w:rPr>
        <w:t>VST's Q1 2026 earnings call (reported May 7, 2026) contained highly relevant commentary on Texas retail margin normalization, Winter Storm Fern generation performance, and data-center timeline expectations. However, this commentary is retrospective (Q1 results) and falls outside the June 5 – August 4 qualifying window. VST's Q2 2026 earnings call is scheduled for August 7, 2026 — three days after NRG's print — so no VST Q2 earnings read-through is available.</w:t>
      </w:r>
    </w:p>
    <w:p>
      <w:pPr>
        <w:pStyle w:val="Heading3"/>
      </w:pPr>
      <w:r>
        <w:rPr>
          <w:rFonts w:ascii="Calibri" w:hAnsi="Calibri"/>
          <w:b/>
          <w:color w:val="3B4259"/>
          <w:sz w:val="24"/>
        </w:rPr>
        <w:t>CEG — Constellation Energy Corp. ★★★★ (High Read-Through Relevance)</w:t>
      </w:r>
    </w:p>
    <w:p>
      <w:r>
        <w:rPr>
          <w:rFonts w:ascii="Calibri" w:hAnsi="Calibri"/>
          <w:b/>
          <w:color w:val="525866"/>
          <w:sz w:val="22"/>
        </w:rPr>
        <w:t xml:space="preserve">Qualifying Disclosure: </w:t>
      </w:r>
      <w:r>
        <w:rPr>
          <w:rFonts w:ascii="Calibri" w:hAnsi="Calibri"/>
          <w:color w:val="525866"/>
          <w:sz w:val="22"/>
        </w:rPr>
        <w:t>8-K filed July 14, 2026 (PJM 2028/29 Capacity Auction Results)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CEG Disclosure (Date)</w:t>
            </w:r>
          </w:p>
        </w:tc>
        <w:tc>
          <w:tcPr>
            <w:tcW w:type="dxa" w:w="2880"/>
            <w:shd w:val="clear" w:color="auto" w:fill="3B4259"/>
          </w:tcPr>
          <w:p>
            <w:r>
              <w:rPr>
                <w:rFonts w:ascii="Calibri" w:hAnsi="Calibri"/>
                <w:b/>
                <w:color w:val="FFFFFF"/>
                <w:sz w:val="22"/>
              </w:rPr>
              <w:t>NRG Read-Through / Implication</w:t>
            </w:r>
          </w:p>
        </w:tc>
      </w:tr>
      <w:tr>
        <w:tc>
          <w:tcPr>
            <w:tcW w:type="dxa" w:w="2880"/>
          </w:tcPr>
          <w:p>
            <w:r>
              <w:rPr>
                <w:rFonts w:ascii="Calibri" w:hAnsi="Calibri"/>
                <w:sz w:val="22"/>
              </w:rPr>
              <w:t>PJM 2028/29 Capacity Auction — Scale &amp; Pricing</w:t>
            </w:r>
          </w:p>
        </w:tc>
        <w:tc>
          <w:tcPr>
            <w:tcW w:type="dxa" w:w="2880"/>
          </w:tcPr>
          <w:p>
            <w:r>
              <w:rPr>
                <w:rFonts w:ascii="Calibri" w:hAnsi="Calibri"/>
                <w:sz w:val="22"/>
              </w:rPr>
              <w:t>CEG cleared 18,875 MW total (15,700 MW nuclear + 3,175 MW fossil/other) at $325/MW-day across all PJM zones (COMED, EMAAC, MAAC, RTO). All CEG power plants in PJM cleared. Capacity revenues for nuclear units included in Production Tax Credit gross receipts calculation. Disclosed July 14, 2026 via 8-K.</w:t>
            </w:r>
          </w:p>
        </w:tc>
        <w:tc>
          <w:tcPr>
            <w:tcW w:type="dxa" w:w="2880"/>
          </w:tcPr>
          <w:p>
            <w:r>
              <w:rPr>
                <w:rFonts w:ascii="Calibri" w:hAnsi="Calibri"/>
                <w:sz w:val="22"/>
              </w:rPr>
              <w:t>The $325/MW-day clearing price is the market-wide benchmark for PJM 2028/29 — NRG's 6,839 MW cleared at the same price. CEG's disclosure that nuclear capacity revenues count toward PTC gross receipts is relevant context for NRG's LS Power nuclear assets. The scale of CEG's clearing (18,875 MW) confirms robust demand for capacity across all PJM zones, a positive signal for NRG's East segment economics.</w:t>
            </w:r>
          </w:p>
        </w:tc>
      </w:tr>
      <w:tr>
        <w:tc>
          <w:tcPr>
            <w:tcW w:type="dxa" w:w="2880"/>
          </w:tcPr>
          <w:p>
            <w:r>
              <w:rPr>
                <w:rFonts w:ascii="Calibri" w:hAnsi="Calibri"/>
                <w:sz w:val="22"/>
              </w:rPr>
              <w:t>Auction Effective Date</w:t>
            </w:r>
          </w:p>
        </w:tc>
        <w:tc>
          <w:tcPr>
            <w:tcW w:type="dxa" w:w="2880"/>
          </w:tcPr>
          <w:p>
            <w:r>
              <w:rPr>
                <w:rFonts w:ascii="Calibri" w:hAnsi="Calibri"/>
                <w:sz w:val="22"/>
              </w:rPr>
              <w:t>CEG noted auction results take effect June 1, 2028.</w:t>
            </w:r>
          </w:p>
        </w:tc>
        <w:tc>
          <w:tcPr>
            <w:tcW w:type="dxa" w:w="2880"/>
          </w:tcPr>
          <w:p>
            <w:r>
              <w:rPr>
                <w:rFonts w:ascii="Calibri" w:hAnsi="Calibri"/>
                <w:sz w:val="22"/>
              </w:rPr>
              <w:t>Confirms the 2028/29 delivery year timeline. NRG's East segment capacity revenue from this auction will begin flowing in June 2028, providing multi-year forward visibility.</w:t>
            </w:r>
          </w:p>
        </w:tc>
      </w:tr>
    </w:tbl>
    <w:p>
      <w:pPr>
        <w:pStyle w:val="Heading3"/>
      </w:pPr>
      <w:r>
        <w:rPr>
          <w:rFonts w:ascii="Calibri" w:hAnsi="Calibri"/>
          <w:b/>
          <w:color w:val="3B4259"/>
          <w:sz w:val="24"/>
        </w:rPr>
        <w:t>PEG — PSEG (Moderate Read-Through Relevance — No Qualifying Commentary in Window)</w:t>
      </w:r>
    </w:p>
    <w:p>
      <w:r>
        <w:rPr>
          <w:rFonts w:ascii="Calibri" w:hAnsi="Calibri"/>
          <w:b/>
          <w:color w:val="525866"/>
          <w:sz w:val="22"/>
        </w:rPr>
        <w:t xml:space="preserve">Qualifying Disclosures Reviewed: </w:t>
      </w:r>
      <w:r>
        <w:rPr>
          <w:rFonts w:ascii="Calibri" w:hAnsi="Calibri"/>
          <w:color w:val="525866"/>
          <w:sz w:val="22"/>
        </w:rPr>
        <w:t>8-K filed July 1, 2026 (Investor Materials Update); Press release July 16, 2026 (Q2 2026 Results Announcement Date)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PEG Disclosure (Date)</w:t>
            </w:r>
          </w:p>
        </w:tc>
        <w:tc>
          <w:tcPr>
            <w:tcW w:type="dxa" w:w="2880"/>
            <w:shd w:val="clear" w:color="auto" w:fill="3B4259"/>
          </w:tcPr>
          <w:p>
            <w:r>
              <w:rPr>
                <w:rFonts w:ascii="Calibri" w:hAnsi="Calibri"/>
                <w:b/>
                <w:color w:val="FFFFFF"/>
                <w:sz w:val="22"/>
              </w:rPr>
              <w:t>NRG Read-Through / Implication</w:t>
            </w:r>
          </w:p>
        </w:tc>
      </w:tr>
      <w:tr>
        <w:tc>
          <w:tcPr>
            <w:tcW w:type="dxa" w:w="2880"/>
          </w:tcPr>
          <w:p>
            <w:r>
              <w:rPr>
                <w:rFonts w:ascii="Calibri" w:hAnsi="Calibri"/>
                <w:sz w:val="22"/>
              </w:rPr>
              <w:t>Investor Materials Update</w:t>
            </w:r>
          </w:p>
        </w:tc>
        <w:tc>
          <w:tcPr>
            <w:tcW w:type="dxa" w:w="2880"/>
          </w:tcPr>
          <w:p>
            <w:r>
              <w:rPr>
                <w:rFonts w:ascii="Calibri" w:hAnsi="Calibri"/>
                <w:sz w:val="22"/>
              </w:rPr>
              <w:t>PEG filed an 8-K on July 1, 2026 stating it would post updated investor materials to its IR website. The 8-K itself contained no substantive commentary on PJM capacity, retail/power markets, or data-center demand.</w:t>
            </w:r>
          </w:p>
        </w:tc>
        <w:tc>
          <w:tcPr>
            <w:tcW w:type="dxa" w:w="2880"/>
          </w:tcPr>
          <w:p>
            <w:r>
              <w:rPr>
                <w:rFonts w:ascii="Calibri" w:hAnsi="Calibri"/>
                <w:sz w:val="22"/>
              </w:rPr>
              <w:t>No qualifying read-through. The filing is a procedural disclosure only. PEG's Q2 2026 earnings are scheduled for August 4, 2026 (same day as NRG) — results will not be available before NRG's print.</w:t>
            </w:r>
          </w:p>
        </w:tc>
      </w:tr>
    </w:tbl>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Relevance</w:t>
            </w:r>
          </w:p>
        </w:tc>
        <w:tc>
          <w:tcPr>
            <w:tcW w:type="dxa" w:w="2160"/>
            <w:shd w:val="clear" w:color="auto" w:fill="3B4259"/>
          </w:tcPr>
          <w:p>
            <w:r>
              <w:rPr>
                <w:rFonts w:ascii="Calibri" w:hAnsi="Calibri"/>
                <w:b/>
                <w:color w:val="FFFFFF"/>
                <w:sz w:val="22"/>
              </w:rPr>
              <w:t>Qualifying Disclosures in Window</w:t>
            </w:r>
          </w:p>
        </w:tc>
        <w:tc>
          <w:tcPr>
            <w:tcW w:type="dxa" w:w="2160"/>
            <w:shd w:val="clear" w:color="auto" w:fill="3B4259"/>
          </w:tcPr>
          <w:p>
            <w:r>
              <w:rPr>
                <w:rFonts w:ascii="Calibri" w:hAnsi="Calibri"/>
                <w:b/>
                <w:color w:val="FFFFFF"/>
                <w:sz w:val="22"/>
              </w:rPr>
              <w:t>Key Signal for NRG</w:t>
            </w:r>
          </w:p>
        </w:tc>
      </w:tr>
      <w:tr>
        <w:tc>
          <w:tcPr>
            <w:tcW w:type="dxa" w:w="2160"/>
          </w:tcPr>
          <w:p>
            <w:r>
              <w:rPr>
                <w:rFonts w:ascii="Calibri" w:hAnsi="Calibri"/>
                <w:sz w:val="22"/>
              </w:rPr>
              <w:t>VST (Vistra)</w:t>
            </w:r>
          </w:p>
        </w:tc>
        <w:tc>
          <w:tcPr>
            <w:tcW w:type="dxa" w:w="2160"/>
          </w:tcPr>
          <w:p>
            <w:r>
              <w:rPr>
                <w:rFonts w:ascii="Calibri" w:hAnsi="Calibri"/>
                <w:sz w:val="22"/>
              </w:rPr>
              <w:t>Highest</w:t>
            </w:r>
          </w:p>
        </w:tc>
        <w:tc>
          <w:tcPr>
            <w:tcW w:type="dxa" w:w="2160"/>
          </w:tcPr>
          <w:p>
            <w:r>
              <w:rPr>
                <w:rFonts w:ascii="Calibri" w:hAnsi="Calibri"/>
                <w:sz w:val="22"/>
              </w:rPr>
              <w:t>PJM auction 8-K (Jul 14); Receivables facility (Jul 16); Revolver expansion (Jun 30)</w:t>
            </w:r>
          </w:p>
        </w:tc>
        <w:tc>
          <w:tcPr>
            <w:tcW w:type="dxa" w:w="2160"/>
          </w:tcPr>
          <w:p>
            <w:r>
              <w:rPr>
                <w:rFonts w:ascii="Calibri" w:hAnsi="Calibri"/>
                <w:sz w:val="22"/>
              </w:rPr>
              <w:t>$325/MW-day PJM clearing price confirmed; sector liquidity access constructive</w:t>
            </w:r>
          </w:p>
        </w:tc>
      </w:tr>
      <w:tr>
        <w:tc>
          <w:tcPr>
            <w:tcW w:type="dxa" w:w="2160"/>
          </w:tcPr>
          <w:p>
            <w:r>
              <w:rPr>
                <w:rFonts w:ascii="Calibri" w:hAnsi="Calibri"/>
                <w:sz w:val="22"/>
              </w:rPr>
              <w:t>CEG (Constellation)</w:t>
            </w:r>
          </w:p>
        </w:tc>
        <w:tc>
          <w:tcPr>
            <w:tcW w:type="dxa" w:w="2160"/>
          </w:tcPr>
          <w:p>
            <w:r>
              <w:rPr>
                <w:rFonts w:ascii="Calibri" w:hAnsi="Calibri"/>
                <w:sz w:val="22"/>
              </w:rPr>
              <w:t>High</w:t>
            </w:r>
          </w:p>
        </w:tc>
        <w:tc>
          <w:tcPr>
            <w:tcW w:type="dxa" w:w="2160"/>
          </w:tcPr>
          <w:p>
            <w:r>
              <w:rPr>
                <w:rFonts w:ascii="Calibri" w:hAnsi="Calibri"/>
                <w:sz w:val="22"/>
              </w:rPr>
              <w:t>PJM auction 8-K (Jul 14)</w:t>
            </w:r>
          </w:p>
        </w:tc>
        <w:tc>
          <w:tcPr>
            <w:tcW w:type="dxa" w:w="2160"/>
          </w:tcPr>
          <w:p>
            <w:r>
              <w:rPr>
                <w:rFonts w:ascii="Calibri" w:hAnsi="Calibri"/>
                <w:sz w:val="22"/>
              </w:rPr>
              <w:t>$325/MW-day confirmed at scale (18,875 MW); nuclear PTC treatment relevant to LS Power assets</w:t>
            </w:r>
          </w:p>
        </w:tc>
      </w:tr>
      <w:tr>
        <w:tc>
          <w:tcPr>
            <w:tcW w:type="dxa" w:w="2160"/>
          </w:tcPr>
          <w:p>
            <w:r>
              <w:rPr>
                <w:rFonts w:ascii="Calibri" w:hAnsi="Calibri"/>
                <w:sz w:val="22"/>
              </w:rPr>
              <w:t>PEG (PSEG)</w:t>
            </w:r>
          </w:p>
        </w:tc>
        <w:tc>
          <w:tcPr>
            <w:tcW w:type="dxa" w:w="2160"/>
          </w:tcPr>
          <w:p>
            <w:r>
              <w:rPr>
                <w:rFonts w:ascii="Calibri" w:hAnsi="Calibri"/>
                <w:sz w:val="22"/>
              </w:rPr>
              <w:t>Moderate (structural)</w:t>
            </w:r>
          </w:p>
        </w:tc>
        <w:tc>
          <w:tcPr>
            <w:tcW w:type="dxa" w:w="2160"/>
          </w:tcPr>
          <w:p>
            <w:r>
              <w:rPr>
                <w:rFonts w:ascii="Calibri" w:hAnsi="Calibri"/>
                <w:sz w:val="22"/>
              </w:rPr>
              <w:t>None qualifying — Jul 1 8-K is procedural only; Q2 earnings same day as NRG</w:t>
            </w:r>
          </w:p>
        </w:tc>
        <w:tc>
          <w:tcPr>
            <w:tcW w:type="dxa" w:w="2160"/>
          </w:tcPr>
          <w:p>
            <w:r>
              <w:rPr>
                <w:rFonts w:ascii="Calibri" w:hAnsi="Calibri"/>
                <w:sz w:val="22"/>
              </w:rPr>
              <w:t>No current-quarter read-through available in window</w:t>
            </w:r>
          </w:p>
        </w:tc>
      </w:tr>
    </w:tbl>
    <w:p>
      <w:r>
        <w:rPr>
          <w:rFonts w:ascii="Calibri" w:hAnsi="Calibri"/>
          <w:b/>
          <w:color w:val="525866"/>
          <w:sz w:val="22"/>
        </w:rPr>
        <w:t xml:space="preserve">Bottom Line: </w:t>
      </w:r>
      <w:r>
        <w:rPr>
          <w:rFonts w:ascii="Calibri" w:hAnsi="Calibri"/>
          <w:color w:val="525866"/>
          <w:sz w:val="22"/>
        </w:rPr>
        <w:t>The most actionable peer read-through for NRG's Q2 2026 print is the July 14 PJM 2028/29 capacity auction, where both VST and CEG cleared at $325/MW-day — the same price NRG received for its 6,839 MW. This is a forward revenue anchor for the East segment and management is likely to highlight it as a positive development on the call. The absence of qualifying VST Q2 earnings commentary (VST reports August 7) means the most direct peer read-through on Texas retail margins, summer weather impact, and data-center deal progress will not be available until after NRG's print.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insider activity in the reviewed period consists of two 10b5-1 planned sales by the Chief Administrative Officer — both pre-scheduled and obligation-driven. No open-market discretionary buys or sells were filed. The absence of discretionary insider buying ahead of the print is neutral, not a negative signal, given the 10b5-1 context.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Virginia Kinney</w:t>
            </w:r>
          </w:p>
        </w:tc>
        <w:tc>
          <w:tcPr>
            <w:tcW w:type="dxa" w:w="1234"/>
          </w:tcPr>
          <w:p>
            <w:r>
              <w:rPr>
                <w:rFonts w:ascii="Calibri" w:hAnsi="Calibri"/>
                <w:sz w:val="22"/>
              </w:rPr>
              <w:t>EVP, Chief Administrative Officer</w:t>
            </w:r>
          </w:p>
        </w:tc>
        <w:tc>
          <w:tcPr>
            <w:tcW w:type="dxa" w:w="1234"/>
          </w:tcPr>
          <w:p>
            <w:r>
              <w:rPr>
                <w:rFonts w:ascii="Calibri" w:hAnsi="Calibri"/>
                <w:sz w:val="22"/>
              </w:rPr>
              <w:t>10b5-1 Planned Sale</w:t>
            </w:r>
          </w:p>
        </w:tc>
        <w:tc>
          <w:tcPr>
            <w:tcW w:type="dxa" w:w="1234"/>
          </w:tcPr>
          <w:p>
            <w:r>
              <w:rPr>
                <w:rFonts w:ascii="Calibri" w:hAnsi="Calibri"/>
                <w:sz w:val="22"/>
              </w:rPr>
              <w:t>11,145 shares</w:t>
            </w:r>
          </w:p>
        </w:tc>
        <w:tc>
          <w:tcPr>
            <w:tcW w:type="dxa" w:w="1234"/>
          </w:tcPr>
          <w:p>
            <w:r>
              <w:rPr>
                <w:rFonts w:ascii="Calibri" w:hAnsi="Calibri"/>
                <w:sz w:val="22"/>
              </w:rPr>
              <w:t>July 15, 2026</w:t>
            </w:r>
          </w:p>
        </w:tc>
        <w:tc>
          <w:tcPr>
            <w:tcW w:type="dxa" w:w="1234"/>
          </w:tcPr>
          <w:p>
            <w:r>
              <w:rPr>
                <w:rFonts w:ascii="Calibri" w:hAnsi="Calibri"/>
                <w:sz w:val="22"/>
              </w:rPr>
              <w:t>July 17, 2026</w:t>
            </w:r>
          </w:p>
        </w:tc>
        <w:tc>
          <w:tcPr>
            <w:tcW w:type="dxa" w:w="1234"/>
          </w:tcPr>
          <w:p>
            <w:r>
              <w:rPr>
                <w:rFonts w:ascii="Calibri" w:hAnsi="Calibri"/>
                <w:sz w:val="22"/>
              </w:rPr>
              <w:t>Pre-scheduled 10b5-1 plan; 33,966 shares retained post-sale; obligation-driven, not discretionary</w:t>
            </w:r>
          </w:p>
        </w:tc>
      </w:tr>
      <w:tr>
        <w:tc>
          <w:tcPr>
            <w:tcW w:type="dxa" w:w="1234"/>
          </w:tcPr>
          <w:p>
            <w:r>
              <w:rPr>
                <w:rFonts w:ascii="Calibri" w:hAnsi="Calibri"/>
                <w:sz w:val="22"/>
              </w:rPr>
              <w:t>Virginia Kinney</w:t>
            </w:r>
          </w:p>
        </w:tc>
        <w:tc>
          <w:tcPr>
            <w:tcW w:type="dxa" w:w="1234"/>
          </w:tcPr>
          <w:p>
            <w:r>
              <w:rPr>
                <w:rFonts w:ascii="Calibri" w:hAnsi="Calibri"/>
                <w:sz w:val="22"/>
              </w:rPr>
              <w:t>EVP, Chief Administrative Officer</w:t>
            </w:r>
          </w:p>
        </w:tc>
        <w:tc>
          <w:tcPr>
            <w:tcW w:type="dxa" w:w="1234"/>
          </w:tcPr>
          <w:p>
            <w:r>
              <w:rPr>
                <w:rFonts w:ascii="Calibri" w:hAnsi="Calibri"/>
                <w:sz w:val="22"/>
              </w:rPr>
              <w:t>10b5-1 Planned Sale</w:t>
            </w:r>
          </w:p>
        </w:tc>
        <w:tc>
          <w:tcPr>
            <w:tcW w:type="dxa" w:w="1234"/>
          </w:tcPr>
          <w:p>
            <w:r>
              <w:rPr>
                <w:rFonts w:ascii="Calibri" w:hAnsi="Calibri"/>
                <w:sz w:val="22"/>
              </w:rPr>
              <w:t>20,000 shares</w:t>
            </w:r>
          </w:p>
        </w:tc>
        <w:tc>
          <w:tcPr>
            <w:tcW w:type="dxa" w:w="1234"/>
          </w:tcPr>
          <w:p>
            <w:r>
              <w:rPr>
                <w:rFonts w:ascii="Calibri" w:hAnsi="Calibri"/>
                <w:sz w:val="22"/>
              </w:rPr>
              <w:t>June 15, 2026</w:t>
            </w:r>
          </w:p>
        </w:tc>
        <w:tc>
          <w:tcPr>
            <w:tcW w:type="dxa" w:w="1234"/>
          </w:tcPr>
          <w:p>
            <w:r>
              <w:rPr>
                <w:rFonts w:ascii="Calibri" w:hAnsi="Calibri"/>
                <w:sz w:val="22"/>
              </w:rPr>
              <w:t>June 17, 2026</w:t>
            </w:r>
          </w:p>
        </w:tc>
        <w:tc>
          <w:tcPr>
            <w:tcW w:type="dxa" w:w="1234"/>
          </w:tcPr>
          <w:p>
            <w:r>
              <w:rPr>
                <w:rFonts w:ascii="Calibri" w:hAnsi="Calibri"/>
                <w:sz w:val="22"/>
              </w:rPr>
              <w:t>Pre-scheduled 10b5-1 plan; 45,111 shares retained post-sale; obligation-driven, not discretionary</w:t>
            </w:r>
          </w:p>
        </w:tc>
      </w:tr>
    </w:tbl>
    <w:p>
      <w:r>
        <w:rPr>
          <w:rFonts w:ascii="Calibri" w:hAnsi="Calibri"/>
          <w:i/>
          <w:color w:val="525866"/>
          <w:sz w:val="22"/>
        </w:rPr>
        <w:t>Source: SEC Form 4 Filings (Insider Transaction Data). Open-market transaction codes P (purchase) and S (sale) only, plus 10b5-1 plan disclosures. Window: May 6 – August 4, 2026 (filing date). No open-market discretionary buys or sells were filed by any NRG insider during this period. Both transactions are pre-scheduled 10b5-1 planned sales by the same executive, consistent with a routine diversification program rather than a directional signal on the upcoming print.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