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nws-earnings-predictions--2026-08-05"/>
    <w:p>
      <w:pPr>
        <w:pStyle w:val="Heading1"/>
      </w:pPr>
      <w:r>
        <w:t xml:space="preserve">NWS Earnings Predictions — 2026-08-05</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NWS</w:t>
            </w:r>
          </w:p>
        </w:tc>
        <w:tc>
          <w:tcPr/>
          <w:p>
            <w:pPr>
              <w:pStyle w:val="Compact"/>
            </w:pPr>
            <w:r>
              <w:t xml:space="preserve">Report</w:t>
            </w:r>
          </w:p>
        </w:tc>
        <w:tc>
          <w:tcPr/>
          <w:p>
            <w:pPr>
              <w:pStyle w:val="Compact"/>
            </w:pPr>
            <w:r>
              <w:t xml:space="preserve">Total Segment EBITDA (Q4 FY26)</w:t>
            </w:r>
          </w:p>
        </w:tc>
        <w:tc>
          <w:tcPr/>
          <w:p>
            <w:pPr>
              <w:pStyle w:val="Compact"/>
            </w:pPr>
            <w:r>
              <w:t xml:space="preserve">BEAT</w:t>
            </w:r>
          </w:p>
        </w:tc>
        <w:tc>
          <w:tcPr/>
          <w:p>
            <w:pPr>
              <w:pStyle w:val="Compact"/>
            </w:pPr>
            <w:r>
              <w:t xml:space="preserve">pred ~</w:t>
            </w:r>
            <m:oMath>
              <m:r>
                <m:t>362</m:t>
              </m:r>
              <m:r>
                <m:t>M</m:t>
              </m:r>
              <m:r>
                <m:t>v</m:t>
              </m:r>
              <m:r>
                <m:t>s</m:t>
              </m:r>
              <m:r>
                <m:rPr>
                  <m:sty m:val="p"/>
                </m:rPr>
                <m:t>.</m:t>
              </m:r>
              <m:r>
                <m:t>c</m:t>
              </m:r>
              <m:r>
                <m:t>o</m:t>
              </m:r>
              <m:r>
                <m:t>n</m:t>
              </m:r>
              <m:r>
                <m:t>s</m:t>
              </m:r>
              <m:r>
                <m:t> </m:t>
              </m:r>
            </m:oMath>
            <w:r>
              <w:t xml:space="preserve">345M</w:t>
            </w:r>
          </w:p>
        </w:tc>
        <w:tc>
          <w:tcPr/>
          <w:p>
            <w:pPr>
              <w:pStyle w:val="Compact"/>
            </w:pPr>
            <w:r>
              <w:t xml:space="preserve">MEDIUM</w:t>
            </w:r>
          </w:p>
        </w:tc>
      </w:tr>
      <w:tr>
        <w:tc>
          <w:tcPr/>
          <w:p>
            <w:pPr>
              <w:pStyle w:val="Compact"/>
            </w:pPr>
            <w:r>
              <w:t xml:space="preserve">NWS</w:t>
            </w:r>
          </w:p>
        </w:tc>
        <w:tc>
          <w:tcPr/>
          <w:p>
            <w:pPr>
              <w:pStyle w:val="Compact"/>
            </w:pPr>
            <w:r>
              <w:t xml:space="preserve">Report</w:t>
            </w:r>
          </w:p>
        </w:tc>
        <w:tc>
          <w:tcPr/>
          <w:p>
            <w:pPr>
              <w:pStyle w:val="Compact"/>
            </w:pPr>
            <w:r>
              <w:t xml:space="preserve">Adjusted Diluted EPS (Q4 FY26)</w:t>
            </w:r>
          </w:p>
        </w:tc>
        <w:tc>
          <w:tcPr/>
          <w:p>
            <w:pPr>
              <w:pStyle w:val="Compact"/>
            </w:pPr>
            <w:r>
              <w:t xml:space="preserve">BEAT</w:t>
            </w:r>
          </w:p>
        </w:tc>
        <w:tc>
          <w:tcPr/>
          <w:p>
            <w:pPr>
              <w:pStyle w:val="Compact"/>
            </w:pPr>
            <w:r>
              <w:t xml:space="preserve">pred ~</w:t>
            </w:r>
            <m:oMath>
              <m:r>
                <m:t>0.17</m:t>
              </m:r>
              <m:r>
                <m:t>v</m:t>
              </m:r>
              <m:r>
                <m:t>s</m:t>
              </m:r>
              <m:r>
                <m:rPr>
                  <m:sty m:val="p"/>
                </m:rPr>
                <m:t>.</m:t>
              </m:r>
              <m:r>
                <m:t>c</m:t>
              </m:r>
              <m:r>
                <m:t>o</m:t>
              </m:r>
              <m:r>
                <m:t>n</m:t>
              </m:r>
              <m:r>
                <m:t>s</m:t>
              </m:r>
              <m:r>
                <m:t> </m:t>
              </m:r>
            </m:oMath>
            <w:r>
              <w:t xml:space="preserve">0.15</w:t>
            </w:r>
          </w:p>
        </w:tc>
        <w:tc>
          <w:tcPr/>
          <w:p>
            <w:pPr>
              <w:pStyle w:val="Compact"/>
            </w:pPr>
            <w:r>
              <w:t xml:space="preserve">MEDIUM</w:t>
            </w:r>
          </w:p>
        </w:tc>
      </w:tr>
      <w:tr>
        <w:tc>
          <w:tcPr/>
          <w:p>
            <w:pPr>
              <w:pStyle w:val="Compact"/>
            </w:pPr>
            <w:r>
              <w:t xml:space="preserve">NWS</w:t>
            </w:r>
          </w:p>
        </w:tc>
        <w:tc>
          <w:tcPr/>
          <w:p>
            <w:pPr>
              <w:pStyle w:val="Compact"/>
            </w:pPr>
            <w:r>
              <w:t xml:space="preserve">Report</w:t>
            </w:r>
          </w:p>
        </w:tc>
        <w:tc>
          <w:tcPr/>
          <w:p>
            <w:pPr>
              <w:pStyle w:val="Compact"/>
            </w:pPr>
            <w:r>
              <w:t xml:space="preserve">Dow Jones Segment EBITDA (Q4 FY26)</w:t>
            </w:r>
          </w:p>
        </w:tc>
        <w:tc>
          <w:tcPr/>
          <w:p>
            <w:pPr>
              <w:pStyle w:val="Compact"/>
            </w:pPr>
            <w:r>
              <w:t xml:space="preserve">BEAT</w:t>
            </w:r>
          </w:p>
        </w:tc>
        <w:tc>
          <w:tcPr/>
          <w:p>
            <w:pPr>
              <w:pStyle w:val="Compact"/>
            </w:pPr>
            <w:r>
              <w:t xml:space="preserve">pred ~</w:t>
            </w:r>
            <m:oMath>
              <m:r>
                <m:t>168</m:t>
              </m:r>
              <m:r>
                <m:t>M</m:t>
              </m:r>
              <m:r>
                <m:t>v</m:t>
              </m:r>
              <m:r>
                <m:t>s</m:t>
              </m:r>
              <m:r>
                <m:rPr>
                  <m:sty m:val="p"/>
                </m:rPr>
                <m:t>.</m:t>
              </m:r>
              <m:r>
                <m:t>c</m:t>
              </m:r>
              <m:r>
                <m:t>o</m:t>
              </m:r>
              <m:r>
                <m:t>n</m:t>
              </m:r>
              <m:r>
                <m:t>s</m:t>
              </m:r>
              <m:r>
                <m:t> </m:t>
              </m:r>
            </m:oMath>
            <w:r>
              <w:t xml:space="preserve">158M</w:t>
            </w:r>
          </w:p>
        </w:tc>
        <w:tc>
          <w:tcPr/>
          <w:p>
            <w:pPr>
              <w:pStyle w:val="Compact"/>
            </w:pPr>
            <w:r>
              <w:t xml:space="preserve">MEDIUM</w:t>
            </w:r>
          </w:p>
        </w:tc>
      </w:tr>
      <w:tr>
        <w:tc>
          <w:tcPr/>
          <w:p>
            <w:pPr>
              <w:pStyle w:val="Compact"/>
            </w:pPr>
            <w:r>
              <w:t xml:space="preserve">NWS</w:t>
            </w:r>
          </w:p>
        </w:tc>
        <w:tc>
          <w:tcPr/>
          <w:p>
            <w:pPr>
              <w:pStyle w:val="Compact"/>
            </w:pPr>
            <w:r>
              <w:t xml:space="preserve">Guide</w:t>
            </w:r>
          </w:p>
        </w:tc>
        <w:tc>
          <w:tcPr/>
          <w:p>
            <w:pPr>
              <w:pStyle w:val="Compact"/>
            </w:pPr>
            <w:r>
              <w:t xml:space="preserve">Full-Year FY2026 Free Cash Flow</w:t>
            </w:r>
          </w:p>
        </w:tc>
        <w:tc>
          <w:tcPr/>
          <w:p>
            <w:pPr>
              <w:pStyle w:val="Compact"/>
            </w:pPr>
            <w:r>
              <w:t xml:space="preserve">BETTER</w:t>
            </w:r>
          </w:p>
        </w:tc>
        <w:tc>
          <w:tcPr/>
          <w:p>
            <w:pPr>
              <w:pStyle w:val="Compact"/>
            </w:pPr>
            <w:r>
              <w:t xml:space="preserve">guide ~</w:t>
            </w:r>
            <m:oMath>
              <m:r>
                <m:t>660</m:t>
              </m:r>
              <m:r>
                <m:t>M</m:t>
              </m:r>
              <m:r>
                <m:t>v</m:t>
              </m:r>
              <m:r>
                <m:t>s</m:t>
              </m:r>
              <m:r>
                <m:rPr>
                  <m:sty m:val="p"/>
                </m:rPr>
                <m:t>.</m:t>
              </m:r>
              <m:r>
                <m:t>c</m:t>
              </m:r>
              <m:r>
                <m:t>o</m:t>
              </m:r>
              <m:r>
                <m:t>n</m:t>
              </m:r>
              <m:r>
                <m:t>s</m:t>
              </m:r>
              <m:r>
                <m:t> </m:t>
              </m:r>
            </m:oMath>
            <w:r>
              <w:t xml:space="preserve">625M (FY2026 full-year, reported alongside Q4)</w:t>
            </w:r>
          </w:p>
        </w:tc>
        <w:tc>
          <w:tcPr/>
          <w:p>
            <w:pPr>
              <w:pStyle w:val="Compact"/>
            </w:pPr>
            <w:r>
              <w:t xml:space="preserve">MEDIUM</w:t>
            </w:r>
          </w:p>
        </w:tc>
      </w:tr>
      <w:tr>
        <w:tc>
          <w:tcPr/>
          <w:p>
            <w:pPr>
              <w:pStyle w:val="Compact"/>
            </w:pPr>
            <w:r>
              <w:t xml:space="preserve">NWS</w:t>
            </w:r>
          </w:p>
        </w:tc>
        <w:tc>
          <w:tcPr/>
          <w:p>
            <w:pPr>
              <w:pStyle w:val="Compact"/>
            </w:pPr>
            <w:r>
              <w:t xml:space="preserve">Guide</w:t>
            </w:r>
          </w:p>
        </w:tc>
        <w:tc>
          <w:tcPr/>
          <w:p>
            <w:pPr>
              <w:pStyle w:val="Compact"/>
            </w:pPr>
            <w:r>
              <w:t xml:space="preserve">Dow Jones margin trajectory toward $1B EBITDA target</w:t>
            </w:r>
          </w:p>
        </w:tc>
        <w:tc>
          <w:tcPr/>
          <w:p>
            <w:pPr>
              <w:pStyle w:val="Compact"/>
            </w:pPr>
            <w:r>
              <w:t xml:space="preserve">UNCHANGED</w:t>
            </w:r>
          </w:p>
        </w:tc>
        <w:tc>
          <w:tcPr/>
          <w:p>
            <w:pPr>
              <w:pStyle w:val="Compact"/>
            </w:pPr>
            <w:r>
              <w:t xml:space="preserve">guide ~24% exit margin vs. cons ~23.8% (FY2026 exit rate, reiterating 5-yr $1B target)</w:t>
            </w:r>
          </w:p>
        </w:tc>
        <w:tc>
          <w:tcPr/>
          <w:p>
            <w:pPr>
              <w:pStyle w:val="Compact"/>
            </w:pPr>
            <w:r>
              <w:t xml:space="preserve">LOW</w:t>
            </w:r>
          </w:p>
        </w:tc>
      </w:tr>
      <w:tr>
        <w:tc>
          <w:tcPr/>
          <w:p>
            <w:pPr>
              <w:pStyle w:val="Compact"/>
            </w:pPr>
            <w:r>
              <w:t xml:space="preserve">NWS</w:t>
            </w:r>
          </w:p>
        </w:tc>
        <w:tc>
          <w:tcPr/>
          <w:p>
            <w:pPr>
              <w:pStyle w:val="Compact"/>
            </w:pPr>
            <w:r>
              <w:t xml:space="preserve">Guide</w:t>
            </w:r>
          </w:p>
        </w:tc>
        <w:tc>
          <w:tcPr/>
          <w:p>
            <w:pPr>
              <w:pStyle w:val="Compact"/>
            </w:pPr>
            <w:r>
              <w:t xml:space="preserve">Capital returns / buyback pace commentary</w:t>
            </w:r>
          </w:p>
        </w:tc>
        <w:tc>
          <w:tcPr/>
          <w:p>
            <w:pPr>
              <w:pStyle w:val="Compact"/>
            </w:pPr>
            <w:r>
              <w:t xml:space="preserve">BETTER</w:t>
            </w:r>
          </w:p>
        </w:tc>
        <w:tc>
          <w:tcPr/>
          <w:p>
            <w:pPr>
              <w:pStyle w:val="Compact"/>
            </w:pPr>
            <w:r>
              <w:t xml:space="preserve">guide ~</w:t>
            </w:r>
            <m:oMath>
              <m:r>
                <m:t>650</m:t>
              </m:r>
              <m:r>
                <m:t>M</m:t>
              </m:r>
              <m:r>
                <m:t>F</m:t>
              </m:r>
              <m:r>
                <m:t>Y</m:t>
              </m:r>
              <m:r>
                <m:t>26</m:t>
              </m:r>
              <m:r>
                <m:t>t</m:t>
              </m:r>
              <m:r>
                <m:t>o</m:t>
              </m:r>
              <m:r>
                <m:t>t</m:t>
              </m:r>
              <m:r>
                <m:t>a</m:t>
              </m:r>
              <m:r>
                <m:t>l</m:t>
              </m:r>
              <m:r>
                <m:t>r</m:t>
              </m:r>
              <m:r>
                <m:t>e</m:t>
              </m:r>
              <m:r>
                <m:t>p</m:t>
              </m:r>
              <m:r>
                <m:t>u</m:t>
              </m:r>
              <m:r>
                <m:t>r</m:t>
              </m:r>
              <m:r>
                <m:t>c</m:t>
              </m:r>
              <m:r>
                <m:t>h</m:t>
              </m:r>
              <m:r>
                <m:t>a</m:t>
              </m:r>
              <m:r>
                <m:t>s</m:t>
              </m:r>
              <m:r>
                <m:t>e</m:t>
              </m:r>
              <m:r>
                <m:t>s</m:t>
              </m:r>
              <m:r>
                <m:t>v</m:t>
              </m:r>
              <m:r>
                <m:t>s</m:t>
              </m:r>
              <m:r>
                <m:rPr>
                  <m:sty m:val="p"/>
                </m:rPr>
                <m:t>.</m:t>
              </m:r>
              <m:r>
                <m:t>c</m:t>
              </m:r>
              <m:r>
                <m:t>o</m:t>
              </m:r>
              <m:r>
                <m:t>n</m:t>
              </m:r>
              <m:r>
                <m:t>s</m:t>
              </m:r>
              <m:r>
                <m:t> </m:t>
              </m:r>
            </m:oMath>
            <w:r>
              <w:t xml:space="preserve">600M implied run-rate (FY2026 full-year)</w:t>
            </w:r>
          </w:p>
        </w:tc>
        <w:tc>
          <w:tcPr/>
          <w:p>
            <w:pPr>
              <w:pStyle w:val="Compact"/>
            </w:pPr>
            <w:r>
              <w:t xml:space="preserve">MEDIUM</w:t>
            </w:r>
          </w:p>
        </w:tc>
      </w:tr>
      <w:tr>
        <w:tc>
          <w:tcPr/>
          <w:p>
            <w:pPr>
              <w:pStyle w:val="Compact"/>
            </w:pPr>
            <w:r>
              <w:t xml:space="preserve">NWS</w:t>
            </w:r>
          </w:p>
        </w:tc>
        <w:tc>
          <w:tcPr/>
          <w:p>
            <w:pPr>
              <w:pStyle w:val="Compact"/>
            </w:pPr>
            <w:r>
              <w:t xml:space="preserve">Return</w:t>
            </w:r>
          </w:p>
        </w:tc>
        <w:tc>
          <w:tcPr/>
          <w:p>
            <w:pPr>
              <w:pStyle w:val="Compact"/>
            </w:pPr>
            <w:r>
              <w:t xml:space="preserve">Day-1 residual (stock − beta × S&amp;P 500)</w:t>
            </w:r>
          </w:p>
        </w:tc>
        <w:tc>
          <w:tcPr/>
          <w:p>
            <w:pPr>
              <w:pStyle w:val="Compact"/>
            </w:pPr>
            <w:r>
              <w:t xml:space="preserve">+1.2%</w:t>
            </w:r>
          </w:p>
        </w:tc>
        <w:tc>
          <w:tcPr/>
          <w:p>
            <w:pPr>
              <w:pStyle w:val="Compact"/>
            </w:pPr>
            <w:r>
              <w:t xml:space="preserve">—</w:t>
            </w:r>
          </w:p>
        </w:tc>
        <w:tc>
          <w:tcPr/>
          <w:p>
            <w:pPr>
              <w:pStyle w:val="Compact"/>
            </w:pPr>
            <w:r>
              <w:t xml:space="preserve">MEDIUM</w:t>
            </w:r>
          </w:p>
        </w:tc>
      </w:tr>
      <w:tr>
        <w:tc>
          <w:tcPr/>
          <w:p>
            <w:pPr>
              <w:pStyle w:val="Compact"/>
            </w:pPr>
            <w:r>
              <w:t xml:space="preserve">NWS</w:t>
            </w:r>
          </w:p>
        </w:tc>
        <w:tc>
          <w:tcPr/>
          <w:p>
            <w:pPr>
              <w:pStyle w:val="Compact"/>
            </w:pPr>
            <w:r>
              <w:t xml:space="preserve">Return</w:t>
            </w:r>
          </w:p>
        </w:tc>
        <w:tc>
          <w:tcPr/>
          <w:p>
            <w:pPr>
              <w:pStyle w:val="Compact"/>
            </w:pPr>
            <w:r>
              <w:t xml:space="preserve">5-day cumulative residual</w:t>
            </w:r>
          </w:p>
        </w:tc>
        <w:tc>
          <w:tcPr/>
          <w:p>
            <w:pPr>
              <w:pStyle w:val="Compact"/>
            </w:pPr>
            <w:r>
              <w:t xml:space="preserve">-0.8% (FADE)</w:t>
            </w:r>
          </w:p>
        </w:tc>
        <w:tc>
          <w:tcPr/>
          <w:p>
            <w:pPr>
              <w:pStyle w:val="Compact"/>
            </w:pPr>
            <w:r>
              <w:t xml:space="preserve">Stock is already up ~17% off June lows heading into print, pricing in a 13th straight EBITDA growth quarter and continued Dow Jones/AI licensing momentum, so a modest beat is largely discounted. Tougher FY2027 comps (Book Publishing frontlist lapping, News Media/California Post ongoing drag, and uncertain Anthropic settlement cash timing) likely temper forward estimate revisions even if headline Q4 numbers beat, causing initial pop to partially fade over the following days as analysts model more conservative out-period growth.</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2026-08-05T01:05:59Z</dcterms:created>
  <dcterms:modified xsi:type="dcterms:W3CDTF">2026-08-05T01:05:59Z</dcterms:modified>
</cp:coreProperties>
</file>

<file path=docProps/custom.xml><?xml version="1.0" encoding="utf-8"?>
<Properties xmlns="http://schemas.openxmlformats.org/officeDocument/2006/custom-properties" xmlns:vt="http://schemas.openxmlformats.org/officeDocument/2006/docPropsVTypes"/>
</file>