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nws-earnings-predictions--2026-08-05"/>
    <w:p>
      <w:pPr>
        <w:pStyle w:val="Heading1"/>
      </w:pPr>
      <w:r>
        <w:t xml:space="preserve">NWS Earnings Predictions — 2026-08-05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NWS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~$2.30B vs. cons $2.28B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NWS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Segment EBITDA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~$375M vs. cons $370M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NWS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~$0.24 vs. cons $0.23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NWS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Total Segment EBITDA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~$1.70B vs. cons $1.73B (FY2027)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NWS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Free cash flow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~$760M vs. cons $740M (FY2027)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NWS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+1.6%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NWS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+0.6% (FADE)</w:t>
            </w:r>
          </w:p>
        </w:tc>
        <w:tc>
          <w:tcPr/>
          <w:p>
            <w:pPr>
              <w:pStyle w:val="Compact"/>
            </w:pPr>
            <w:r>
              <w:t xml:space="preserve">Day-1 residual of ~+1.6% fades to ~+0.6% by day 5: modest Q4 EBITDA/EPS upside is partly pre-priced, while an implied FY2027 EBITDA outlook of ~$1.70B versus consensus of $1.73B limits estimate revisions despite stronger cash flow.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2026-08-05T01:06:30Z</dcterms:created>
  <dcterms:modified xsi:type="dcterms:W3CDTF">2026-08-05T01:06:30Z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