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58858e5fb3eeed7b308a42b77516fc91832e1b"/>
    <w:p>
      <w:pPr>
        <w:pStyle w:val="Heading1"/>
      </w:pPr>
      <w:r>
        <w:t xml:space="preserve">News Corp (NWS) Fiscal 4Q26 Earnings Preview</w:t>
      </w:r>
    </w:p>
    <w:p>
      <w:pPr>
        <w:pStyle w:val="BlockText"/>
      </w:pPr>
      <w:r>
        <w:rPr>
          <w:b/>
          <w:bCs/>
        </w:rPr>
        <w:t xml:space="preserve">Date clarification:</w:t>
      </w:r>
      <w:r>
        <w:t xml:space="preserve"> </w:t>
      </w:r>
      <w:r>
        <w:t xml:space="preserve">August 5, 2026 is today, not tomorrow. This preview treats the fiscal 2026 fourth-quarter report and earnings call as scheduled for</w:t>
      </w:r>
      <w:r>
        <w:t xml:space="preserve"> </w:t>
      </w:r>
      <w:r>
        <w:rPr>
          <w:b/>
          <w:bCs/>
        </w:rPr>
        <w:t xml:space="preserve">Wednesday, August 5, 2026</w:t>
      </w:r>
      <w:r>
        <w:t xml:space="preserve">. No fiscal 4Q26 release appeared in the available filings database at the time of research.</w:t>
      </w:r>
    </w:p>
    <w:bookmarkStart w:id="9" w:name="investment-view-going-into-the-report"/>
    <w:p>
      <w:pPr>
        <w:pStyle w:val="Heading2"/>
      </w:pPr>
      <w:r>
        <w:t xml:space="preserve">Investment view going into the report</w:t>
      </w:r>
    </w:p>
    <w:p>
      <w:pPr>
        <w:pStyle w:val="FirstParagraph"/>
      </w:pPr>
      <w:r>
        <w:t xml:space="preserve">News Corp enters fiscal year-end earnings with strong operating momentum but a more demanding setup than the headline numbers alone suggest.</w:t>
      </w:r>
    </w:p>
    <w:p>
      <w:pPr>
        <w:pStyle w:val="BodyText"/>
      </w:pPr>
      <w:r>
        <w:t xml:space="preserve">The central question is no longer whether News Corp can deliver another year of record profitability—it would take only a very weak fourth quarter to miss that mark. The more important questions are:</w:t>
      </w:r>
    </w:p>
    <w:p>
      <w:pPr>
        <w:pStyle w:val="Compact"/>
        <w:numPr>
          <w:ilvl w:val="0"/>
          <w:numId w:val="1001"/>
        </w:numPr>
      </w:pPr>
      <w:r>
        <w:rPr>
          <w:b/>
          <w:bCs/>
        </w:rPr>
        <w:t xml:space="preserve">Can Dow Jones sustain double-digit profit growth and margin expansion?</w:t>
      </w:r>
    </w:p>
    <w:p>
      <w:pPr>
        <w:pStyle w:val="Compact"/>
        <w:numPr>
          <w:ilvl w:val="0"/>
          <w:numId w:val="1001"/>
        </w:numPr>
      </w:pPr>
      <w:r>
        <w:rPr>
          <w:b/>
          <w:bCs/>
        </w:rPr>
        <w:t xml:space="preserve">Is Realtor.com’s recovery durable despite a weak U.S. housing market?</w:t>
      </w:r>
    </w:p>
    <w:p>
      <w:pPr>
        <w:pStyle w:val="Compact"/>
        <w:numPr>
          <w:ilvl w:val="0"/>
          <w:numId w:val="1001"/>
        </w:numPr>
      </w:pPr>
      <w:r>
        <w:rPr>
          <w:b/>
          <w:bCs/>
        </w:rPr>
        <w:t xml:space="preserve">Can HarperCollins follow its strong third quarter with a better fourth quarter than last year?</w:t>
      </w:r>
    </w:p>
    <w:p>
      <w:pPr>
        <w:pStyle w:val="Compact"/>
        <w:numPr>
          <w:ilvl w:val="0"/>
          <w:numId w:val="1001"/>
        </w:numPr>
      </w:pPr>
      <w:r>
        <w:rPr>
          <w:b/>
          <w:bCs/>
        </w:rPr>
        <w:t xml:space="preserve">Will AI and content-licensing agreements become financially measurable rather than merely strategic?</w:t>
      </w:r>
    </w:p>
    <w:p>
      <w:pPr>
        <w:pStyle w:val="Compact"/>
        <w:numPr>
          <w:ilvl w:val="0"/>
          <w:numId w:val="1001"/>
        </w:numPr>
      </w:pPr>
      <w:r>
        <w:rPr>
          <w:b/>
          <w:bCs/>
        </w:rPr>
        <w:t xml:space="preserve">How much of the earnings improvement is organic versus currency-driven?</w:t>
      </w:r>
    </w:p>
    <w:p>
      <w:pPr>
        <w:pStyle w:val="Compact"/>
        <w:numPr>
          <w:ilvl w:val="0"/>
          <w:numId w:val="1001"/>
        </w:numPr>
      </w:pPr>
      <w:r>
        <w:rPr>
          <w:b/>
          <w:bCs/>
        </w:rPr>
        <w:t xml:space="preserve">Can free cash flow support the accelerated buyback without weakening the balance sheet?</w:t>
      </w:r>
    </w:p>
    <w:p>
      <w:pPr>
        <w:pStyle w:val="FirstParagraph"/>
      </w:pPr>
      <w:r>
        <w:t xml:space="preserve">My bias is constructive. Dow Jones and Digital Real Estate Services should remain the principal earnings engines, while Book Publishing faces an easy comparison. The clearest risk is News Media, where print pressure and California Post investment could offset licensing gains.</w:t>
      </w:r>
    </w:p>
    <w:p>
      <w:r>
        <w:pict>
          <v:rect style="width:0;height:1.5pt" o:hralign="center" o:hrstd="t" o:hr="t"/>
        </w:pict>
      </w:r>
    </w:p>
    <w:bookmarkEnd w:id="9"/>
    <w:bookmarkStart w:id="10" w:name="the-setup"/>
    <w:p>
      <w:pPr>
        <w:pStyle w:val="Heading2"/>
      </w:pPr>
      <w:r>
        <w:t xml:space="preserve">The setup</w:t>
      </w:r>
    </w:p>
    <w:p>
      <w:pPr>
        <w:pStyle w:val="FirstParagraph"/>
      </w:pPr>
      <w:r>
        <w:t xml:space="preserve">Fiscal 3Q26 was strong: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Fiscal 3Q26</w:t>
            </w:r>
          </w:p>
        </w:tc>
        <w:tc>
          <w:tcPr/>
          <w:p>
            <w:pPr>
              <w:pStyle w:val="Compact"/>
              <w:jc w:val="right"/>
            </w:pPr>
            <w:r>
              <w:t xml:space="preserve">Result</w:t>
            </w:r>
          </w:p>
        </w:tc>
        <w:tc>
          <w:tcPr/>
          <w:p>
            <w:pPr>
              <w:pStyle w:val="Compact"/>
              <w:jc w:val="right"/>
            </w:pPr>
            <w:r>
              <w:t xml:space="preserve">YoY growth</w:t>
            </w:r>
          </w:p>
        </w:tc>
        <w:tc>
          <w:tcPr/>
          <w:p>
            <w:pPr>
              <w:pStyle w:val="Compact"/>
              <w:jc w:val="right"/>
            </w:pPr>
            <w:r>
              <w:t xml:space="preserve">Adjusted growth</w:t>
            </w:r>
          </w:p>
        </w:tc>
      </w:tr>
      <w:tr>
        <w:tc>
          <w:tcPr/>
          <w:p>
            <w:pPr>
              <w:pStyle w:val="Compact"/>
            </w:pPr>
            <w:r>
              <w:t xml:space="preserve">Revenue</w:t>
            </w:r>
          </w:p>
        </w:tc>
        <w:tc>
          <w:tcPr/>
          <w:p>
            <w:pPr>
              <w:pStyle w:val="Compact"/>
              <w:jc w:val="right"/>
            </w:pPr>
            <w:r>
              <w:t xml:space="preserve">$2.185B</w:t>
            </w:r>
          </w:p>
        </w:tc>
        <w:tc>
          <w:tcPr/>
          <w:p>
            <w:pPr>
              <w:pStyle w:val="Compact"/>
              <w:jc w:val="right"/>
            </w:pPr>
            <w:r>
              <w:t xml:space="preserve">9%</w:t>
            </w:r>
          </w:p>
        </w:tc>
        <w:tc>
          <w:tcPr/>
          <w:p>
            <w:pPr>
              <w:pStyle w:val="Compact"/>
              <w:jc w:val="right"/>
            </w:pPr>
            <w:r>
              <w:t xml:space="preserve">4%</w:t>
            </w:r>
          </w:p>
        </w:tc>
      </w:tr>
      <w:tr>
        <w:tc>
          <w:tcPr/>
          <w:p>
            <w:pPr>
              <w:pStyle w:val="Compact"/>
            </w:pPr>
            <w:r>
              <w:t xml:space="preserve">Total Segment EBITDA</w:t>
            </w:r>
          </w:p>
        </w:tc>
        <w:tc>
          <w:tcPr/>
          <w:p>
            <w:pPr>
              <w:pStyle w:val="Compact"/>
              <w:jc w:val="right"/>
            </w:pPr>
            <w:r>
              <w:t xml:space="preserve">$343M</w:t>
            </w:r>
          </w:p>
        </w:tc>
        <w:tc>
          <w:tcPr/>
          <w:p>
            <w:pPr>
              <w:pStyle w:val="Compact"/>
              <w:jc w:val="right"/>
            </w:pPr>
            <w:r>
              <w:t xml:space="preserve">18%</w:t>
            </w:r>
          </w:p>
        </w:tc>
        <w:tc>
          <w:tcPr/>
          <w:p>
            <w:pPr>
              <w:pStyle w:val="Compact"/>
              <w:jc w:val="right"/>
            </w:pPr>
            <w:r>
              <w:t xml:space="preserve">13%</w:t>
            </w:r>
          </w:p>
        </w:tc>
      </w:tr>
      <w:tr>
        <w:tc>
          <w:tcPr/>
          <w:p>
            <w:pPr>
              <w:pStyle w:val="Compact"/>
            </w:pPr>
            <w:r>
              <w:t xml:space="preserve">Adjusted EPS</w:t>
            </w:r>
          </w:p>
        </w:tc>
        <w:tc>
          <w:tcPr/>
          <w:p>
            <w:pPr>
              <w:pStyle w:val="Compact"/>
              <w:jc w:val="right"/>
            </w:pPr>
            <w:r>
              <w:t xml:space="preserve">$0.21</w:t>
            </w:r>
          </w:p>
        </w:tc>
        <w:tc>
          <w:tcPr/>
          <w:p>
            <w:pPr>
              <w:pStyle w:val="Compact"/>
              <w:jc w:val="right"/>
            </w:pPr>
            <w:r>
              <w:t xml:space="preserve">24%</w:t>
            </w:r>
          </w:p>
        </w:tc>
        <w:tc>
          <w:tcPr/>
          <w:p>
            <w:pPr>
              <w:pStyle w:val="Compact"/>
              <w:jc w:val="right"/>
            </w:pPr>
            <w:r>
              <w:t xml:space="preserve">—</w:t>
            </w:r>
          </w:p>
        </w:tc>
      </w:tr>
      <w:tr>
        <w:tc>
          <w:tcPr/>
          <w:p>
            <w:pPr>
              <w:pStyle w:val="Compact"/>
            </w:pPr>
            <w:r>
              <w:t xml:space="preserve">Free cash flow, nine months</w:t>
            </w:r>
          </w:p>
        </w:tc>
        <w:tc>
          <w:tcPr/>
          <w:p>
            <w:pPr>
              <w:pStyle w:val="Compact"/>
              <w:jc w:val="right"/>
            </w:pPr>
            <w:r>
              <w:t xml:space="preserve">$535M</w:t>
            </w:r>
          </w:p>
        </w:tc>
        <w:tc>
          <w:tcPr/>
          <w:p>
            <w:pPr>
              <w:pStyle w:val="Compact"/>
              <w:jc w:val="right"/>
            </w:pPr>
            <w:r>
              <w:t xml:space="preserve">(1)%</w:t>
            </w:r>
          </w:p>
        </w:tc>
        <w:tc>
          <w:tcPr/>
          <w:p>
            <w:pPr>
              <w:pStyle w:val="Compact"/>
              <w:jc w:val="right"/>
            </w:pPr>
            <w:r>
              <w:t xml:space="preserve">—</w:t>
            </w:r>
          </w:p>
        </w:tc>
      </w:tr>
    </w:tbl>
    <w:p>
      <w:pPr>
        <w:pStyle w:val="BodyText"/>
      </w:pPr>
      <w:r>
        <w:t xml:space="preserve">The difference between reported and adjusted growth is important. Foreign exchange added</w:t>
      </w:r>
      <w:r>
        <w:t xml:space="preserve"> </w:t>
      </w:r>
      <m:oMath>
        <m:r>
          <m:t>88</m:t>
        </m:r>
        <m:r>
          <m:t>m</m:t>
        </m:r>
        <m:r>
          <m:t>i</m:t>
        </m:r>
        <m:r>
          <m:t>l</m:t>
        </m:r>
        <m:r>
          <m:t>l</m:t>
        </m:r>
        <m:r>
          <m:t>i</m:t>
        </m:r>
        <m:r>
          <m:t>o</m:t>
        </m:r>
        <m:r>
          <m:t>n</m:t>
        </m:r>
        <m:r>
          <m:t>t</m:t>
        </m:r>
        <m:r>
          <m:t>o</m:t>
        </m:r>
        <m:r>
          <m:t>t</m:t>
        </m:r>
        <m:r>
          <m:t>h</m:t>
        </m:r>
        <m:r>
          <m:t>i</m:t>
        </m:r>
        <m:r>
          <m:t>r</m:t>
        </m:r>
        <m:r>
          <m:t>d</m:t>
        </m:r>
        <m:r>
          <m:rPr>
            <m:sty m:val="p"/>
          </m:rPr>
          <m:t>−</m:t>
        </m:r>
        <m:r>
          <m:t>q</m:t>
        </m:r>
        <m:r>
          <m:t>u</m:t>
        </m:r>
        <m:r>
          <m:t>a</m:t>
        </m:r>
        <m:r>
          <m:t>r</m:t>
        </m:r>
        <m:r>
          <m:t>t</m:t>
        </m:r>
        <m:r>
          <m:t>e</m:t>
        </m:r>
        <m:r>
          <m:t>r</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16 million to Segment EBITDA</w:t>
      </w:r>
      <w:r>
        <w:t xml:space="preserve">. Investors should therefore judge 4Q26 primarily on adjusted or constant-currency growth rather than the headline percentage.</w:t>
      </w:r>
    </w:p>
    <w:p>
      <w:pPr>
        <w:pStyle w:val="BodyText"/>
      </w:pPr>
      <w:r>
        <w:t xml:space="preserve">For the first nine months of fiscal 2026, News Corp generated:</w:t>
      </w:r>
    </w:p>
    <w:p>
      <w:pPr>
        <w:pStyle w:val="Compact"/>
        <w:numPr>
          <w:ilvl w:val="0"/>
          <w:numId w:val="1002"/>
        </w:numPr>
      </w:pPr>
      <w:r>
        <w:rPr>
          <w:b/>
          <w:bCs/>
        </w:rPr>
        <w:t xml:space="preserve">$6.691 billion of revenue</w:t>
      </w:r>
      <w:r>
        <w:t xml:space="preserve">, up 5%</w:t>
      </w:r>
    </w:p>
    <w:p>
      <w:pPr>
        <w:pStyle w:val="Compact"/>
        <w:numPr>
          <w:ilvl w:val="0"/>
          <w:numId w:val="1002"/>
        </w:numPr>
      </w:pPr>
      <w:r>
        <w:rPr>
          <w:b/>
          <w:bCs/>
        </w:rPr>
        <w:t xml:space="preserve">$1.204 billion of Total Segment EBITDA</w:t>
      </w:r>
      <w:r>
        <w:t xml:space="preserve">, up 10%</w:t>
      </w:r>
    </w:p>
    <w:p>
      <w:pPr>
        <w:pStyle w:val="Compact"/>
        <w:numPr>
          <w:ilvl w:val="0"/>
          <w:numId w:val="1002"/>
        </w:numPr>
      </w:pPr>
      <w:r>
        <w:rPr>
          <w:b/>
          <w:bCs/>
        </w:rPr>
        <w:t xml:space="preserve">$0.83 of adjusted EPS</w:t>
      </w:r>
      <w:r>
        <w:t xml:space="preserve">, up from $0.71</w:t>
      </w:r>
    </w:p>
    <w:p>
      <w:pPr>
        <w:pStyle w:val="Compact"/>
        <w:numPr>
          <w:ilvl w:val="0"/>
          <w:numId w:val="1002"/>
        </w:numPr>
      </w:pPr>
      <w:r>
        <w:rPr>
          <w:b/>
          <w:bCs/>
        </w:rPr>
        <w:t xml:space="preserve">$535 million of free cash flow</w:t>
      </w:r>
    </w:p>
    <w:p>
      <w:pPr>
        <w:pStyle w:val="Compact"/>
        <w:numPr>
          <w:ilvl w:val="0"/>
          <w:numId w:val="1002"/>
        </w:numPr>
      </w:pPr>
      <w:r>
        <w:rPr>
          <w:b/>
          <w:bCs/>
        </w:rPr>
        <w:t xml:space="preserve">$456 million of share repurchases</w:t>
      </w:r>
    </w:p>
    <w:p>
      <w:pPr>
        <w:pStyle w:val="FirstParagraph"/>
      </w:pPr>
      <w:r>
        <w:t xml:space="preserve">Management said in May that fourth-quarter trading had started strongly and that it expected another record year of profitability.</w:t>
      </w:r>
    </w:p>
    <w:p>
      <w:r>
        <w:pict>
          <v:rect style="width:0;height:1.5pt" o:hralign="center" o:hrstd="t" o:hr="t"/>
        </w:pict>
      </w:r>
    </w:p>
    <w:bookmarkEnd w:id="10"/>
    <w:bookmarkStart w:id="12" w:name="what-would-constitute-a-good-report"/>
    <w:p>
      <w:pPr>
        <w:pStyle w:val="Heading2"/>
      </w:pPr>
      <w:r>
        <w:t xml:space="preserve">What would constitute a good report?</w:t>
      </w:r>
    </w:p>
    <w:p>
      <w:pPr>
        <w:pStyle w:val="FirstParagraph"/>
      </w:pPr>
      <w:r>
        <w:t xml:space="preserve">I did not find a reliable current consensus estimate in the available research feeds, so the figures below are an</w:t>
      </w:r>
      <w:r>
        <w:t xml:space="preserve"> </w:t>
      </w:r>
      <w:r>
        <w:rPr>
          <w:b/>
          <w:bCs/>
        </w:rPr>
        <w:t xml:space="preserve">investor benchmark—not Wall Street consensus</w:t>
      </w:r>
      <w:r>
        <w:t xml:space="preserve">.</w:t>
      </w:r>
    </w:p>
    <w:bookmarkStart w:id="11" w:name="illustrative-expectations"/>
    <w:p>
      <w:pPr>
        <w:pStyle w:val="Heading3"/>
      </w:pPr>
      <w:r>
        <w:t xml:space="preserve">Illustrative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Fiscal 4Q25 actual</w:t>
            </w:r>
          </w:p>
        </w:tc>
        <w:tc>
          <w:tcPr/>
          <w:p>
            <w:pPr>
              <w:pStyle w:val="Compact"/>
              <w:jc w:val="right"/>
            </w:pPr>
            <w:r>
              <w:t xml:space="preserve">Constructive 4Q26 benchmark</w:t>
            </w:r>
          </w:p>
        </w:tc>
      </w:tr>
      <w:tr>
        <w:tc>
          <w:tcPr/>
          <w:p>
            <w:pPr>
              <w:pStyle w:val="Compact"/>
            </w:pPr>
            <w:r>
              <w:t xml:space="preserve">Revenue</w:t>
            </w:r>
          </w:p>
        </w:tc>
        <w:tc>
          <w:tcPr/>
          <w:p>
            <w:pPr>
              <w:pStyle w:val="Compact"/>
              <w:jc w:val="right"/>
            </w:pPr>
            <w:r>
              <w:t xml:space="preserve">$2.109B</w:t>
            </w:r>
          </w:p>
        </w:tc>
        <w:tc>
          <w:tcPr/>
          <w:p>
            <w:pPr>
              <w:pStyle w:val="Compact"/>
              <w:jc w:val="right"/>
            </w:pPr>
            <m:oMath>
              <m:r>
                <m:t>2.25</m:t>
              </m:r>
              <m:r>
                <m:t>B</m:t>
              </m:r>
              <m:r>
                <m:rPr>
                  <m:sty m:val="p"/>
                </m:rPr>
                <m:t>–</m:t>
              </m:r>
            </m:oMath>
            <w:r>
              <w:rPr>
                <w:b/>
                <w:bCs/>
              </w:rPr>
              <w:t xml:space="preserve">2.35B</w:t>
            </w:r>
          </w:p>
        </w:tc>
      </w:tr>
      <w:tr>
        <w:tc>
          <w:tcPr/>
          <w:p>
            <w:pPr>
              <w:pStyle w:val="Compact"/>
            </w:pPr>
            <w:r>
              <w:t xml:space="preserve">Total Segment EBITDA</w:t>
            </w:r>
          </w:p>
        </w:tc>
        <w:tc>
          <w:tcPr/>
          <w:p>
            <w:pPr>
              <w:pStyle w:val="Compact"/>
              <w:jc w:val="right"/>
            </w:pPr>
            <w:r>
              <w:t xml:space="preserve">$322M</w:t>
            </w:r>
          </w:p>
        </w:tc>
        <w:tc>
          <w:tcPr/>
          <w:p>
            <w:pPr>
              <w:pStyle w:val="Compact"/>
              <w:jc w:val="right"/>
            </w:pPr>
            <m:oMath>
              <m:r>
                <m:t>350</m:t>
              </m:r>
              <m:r>
                <m:t>M</m:t>
              </m:r>
              <m:r>
                <m:rPr>
                  <m:sty m:val="p"/>
                </m:rPr>
                <m:t>–</m:t>
              </m:r>
            </m:oMath>
            <w:r>
              <w:rPr>
                <w:b/>
                <w:bCs/>
              </w:rPr>
              <w:t xml:space="preserve">380M</w:t>
            </w:r>
          </w:p>
        </w:tc>
      </w:tr>
      <w:tr>
        <w:tc>
          <w:tcPr/>
          <w:p>
            <w:pPr>
              <w:pStyle w:val="Compact"/>
            </w:pPr>
            <w:r>
              <w:t xml:space="preserve">Adjusted EPS</w:t>
            </w:r>
          </w:p>
        </w:tc>
        <w:tc>
          <w:tcPr/>
          <w:p>
            <w:pPr>
              <w:pStyle w:val="Compact"/>
              <w:jc w:val="right"/>
            </w:pPr>
            <w:r>
              <w:t xml:space="preserve">$0.19</w:t>
            </w:r>
          </w:p>
        </w:tc>
        <w:tc>
          <w:tcPr/>
          <w:p>
            <w:pPr>
              <w:pStyle w:val="Compact"/>
              <w:jc w:val="right"/>
            </w:pPr>
            <m:oMath>
              <m:r>
                <m:t>0.22</m:t>
              </m:r>
              <m:r>
                <m:rPr>
                  <m:sty m:val="p"/>
                </m:rPr>
                <m:t>–</m:t>
              </m:r>
            </m:oMath>
            <w:r>
              <w:rPr>
                <w:b/>
                <w:bCs/>
              </w:rPr>
              <w:t xml:space="preserve">0.26</w:t>
            </w:r>
          </w:p>
        </w:tc>
      </w:tr>
      <w:tr>
        <w:tc>
          <w:tcPr/>
          <w:p>
            <w:pPr>
              <w:pStyle w:val="Compact"/>
            </w:pPr>
            <w:r>
              <w:t xml:space="preserve">EBITDA margin</w:t>
            </w:r>
          </w:p>
        </w:tc>
        <w:tc>
          <w:tcPr/>
          <w:p>
            <w:pPr>
              <w:pStyle w:val="Compact"/>
              <w:jc w:val="right"/>
            </w:pPr>
            <w:r>
              <w:t xml:space="preserve">15.3%</w:t>
            </w:r>
          </w:p>
        </w:tc>
        <w:tc>
          <w:tcPr/>
          <w:p>
            <w:pPr>
              <w:pStyle w:val="Compact"/>
              <w:jc w:val="right"/>
            </w:pPr>
            <w:r>
              <w:rPr>
                <w:b/>
                <w:bCs/>
              </w:rPr>
              <w:t xml:space="preserve">At least 15.5%–16%</w:t>
            </w:r>
          </w:p>
        </w:tc>
      </w:tr>
    </w:tbl>
    <w:p>
      <w:pPr>
        <w:pStyle w:val="BodyText"/>
      </w:pPr>
      <w:r>
        <w:t xml:space="preserve">That would imply approximate fiscal 2026 results of:</w:t>
      </w:r>
    </w:p>
    <w:p>
      <w:pPr>
        <w:pStyle w:val="Compact"/>
        <w:numPr>
          <w:ilvl w:val="0"/>
          <w:numId w:val="1003"/>
        </w:numPr>
      </w:pPr>
      <w:r>
        <w:rPr>
          <w:b/>
          <w:bCs/>
        </w:rPr>
        <w:t xml:space="preserve">Revenue:</w:t>
      </w:r>
      <w:r>
        <w:t xml:space="preserve"> </w:t>
      </w:r>
      <m:oMath>
        <m:r>
          <m:t>8.94</m:t>
        </m:r>
        <m:r>
          <m:t>B</m:t>
        </m:r>
        <m:r>
          <m:rPr>
            <m:sty m:val="p"/>
          </m:rPr>
          <m:t>–</m:t>
        </m:r>
      </m:oMath>
      <w:r>
        <w:t xml:space="preserve">9.04B, up roughly 6%–7%</w:t>
      </w:r>
    </w:p>
    <w:p>
      <w:pPr>
        <w:pStyle w:val="Compact"/>
        <w:numPr>
          <w:ilvl w:val="0"/>
          <w:numId w:val="1003"/>
        </w:numPr>
      </w:pPr>
      <w:r>
        <w:rPr>
          <w:b/>
          <w:bCs/>
        </w:rPr>
        <w:t xml:space="preserve">Total Segment EBITDA:</w:t>
      </w:r>
      <w:r>
        <w:t xml:space="preserve"> </w:t>
      </w:r>
      <m:oMath>
        <m:r>
          <m:t>1.55</m:t>
        </m:r>
        <m:r>
          <m:t>B</m:t>
        </m:r>
        <m:r>
          <m:rPr>
            <m:sty m:val="p"/>
          </m:rPr>
          <m:t>–</m:t>
        </m:r>
      </m:oMath>
      <w:r>
        <w:t xml:space="preserve">1.58B, up roughly 10%–12%</w:t>
      </w:r>
    </w:p>
    <w:p>
      <w:pPr>
        <w:pStyle w:val="Compact"/>
        <w:numPr>
          <w:ilvl w:val="0"/>
          <w:numId w:val="1003"/>
        </w:numPr>
      </w:pPr>
      <w:r>
        <w:rPr>
          <w:b/>
          <w:bCs/>
        </w:rPr>
        <w:t xml:space="preserve">Adjusted EPS:</w:t>
      </w:r>
      <w:r>
        <w:t xml:space="preserve"> </w:t>
      </w:r>
      <m:oMath>
        <m:r>
          <m:t>1.05</m:t>
        </m:r>
        <m:r>
          <m:rPr>
            <m:sty m:val="p"/>
          </m:rPr>
          <m:t>–</m:t>
        </m:r>
      </m:oMath>
      <w:r>
        <w:t xml:space="preserve">1.09, versus $0.89 in fiscal 2025</w:t>
      </w:r>
    </w:p>
    <w:p>
      <w:pPr>
        <w:pStyle w:val="FirstParagraph"/>
      </w:pPr>
      <w:r>
        <w:t xml:space="preserve">The company needs only</w:t>
      </w:r>
      <w:r>
        <w:t xml:space="preserve"> </w:t>
      </w:r>
      <w:r>
        <w:rPr>
          <w:b/>
          <w:bCs/>
        </w:rPr>
        <w:t xml:space="preserve">$212 million of fourth-quarter Segment EBITDA</w:t>
      </w:r>
      <w:r>
        <w:t xml:space="preserve"> </w:t>
      </w:r>
      <w:r>
        <w:t xml:space="preserve">to exceed fiscal 2025’s record $1.415 billion. Consequently, merely announcing “record profitability” should not be enough to impress investors. The quality of segment growth and fiscal 2027 commentary will matter more.</w:t>
      </w:r>
    </w:p>
    <w:p>
      <w:r>
        <w:pict>
          <v:rect style="width:0;height:1.5pt" o:hralign="center" o:hrstd="t" o:hr="t"/>
        </w:pict>
      </w:r>
    </w:p>
    <w:bookmarkEnd w:id="11"/>
    <w:bookmarkEnd w:id="12"/>
    <w:bookmarkStart w:id="23" w:name="segment-by-segment-checklist"/>
    <w:p>
      <w:pPr>
        <w:pStyle w:val="Heading2"/>
      </w:pPr>
      <w:r>
        <w:t xml:space="preserve">Segment-by-segment checklist</w:t>
      </w:r>
    </w:p>
    <w:bookmarkStart w:id="14" w:name="X2ca7a7c9cc8457469fa885fb414feb0443ca3e9"/>
    <w:p>
      <w:pPr>
        <w:pStyle w:val="Heading3"/>
      </w:pPr>
      <w:r>
        <w:t xml:space="preserve">1. Dow Jones: the most important asset</w:t>
      </w:r>
    </w:p>
    <w:p>
      <w:pPr>
        <w:pStyle w:val="FirstParagraph"/>
      </w:pPr>
      <w:r>
        <w:t xml:space="preserve">Dow Jones is the primary driver of News Corp’s transition from a traditional media company toward a recurring-revenue information-services business.</w:t>
      </w:r>
    </w:p>
    <w:p>
      <w:pPr>
        <w:pStyle w:val="BodyText"/>
      </w:pPr>
      <w:r>
        <w:t xml:space="preserve">Fiscal 3Q26 results included:</w:t>
      </w:r>
    </w:p>
    <w:p>
      <w:pPr>
        <w:pStyle w:val="Compact"/>
        <w:numPr>
          <w:ilvl w:val="0"/>
          <w:numId w:val="1004"/>
        </w:numPr>
      </w:pPr>
      <w:r>
        <w:t xml:space="preserve">Revenue of</w:t>
      </w:r>
      <w:r>
        <w:t xml:space="preserve"> </w:t>
      </w:r>
      <w:r>
        <w:rPr>
          <w:b/>
          <w:bCs/>
        </w:rPr>
        <w:t xml:space="preserve">$619 million</w:t>
      </w:r>
      <w:r>
        <w:t xml:space="preserve">, up 8%</w:t>
      </w:r>
    </w:p>
    <w:p>
      <w:pPr>
        <w:pStyle w:val="Compact"/>
        <w:numPr>
          <w:ilvl w:val="0"/>
          <w:numId w:val="1004"/>
        </w:numPr>
      </w:pPr>
      <w:r>
        <w:t xml:space="preserve">Segment EBITDA of</w:t>
      </w:r>
      <w:r>
        <w:t xml:space="preserve"> </w:t>
      </w:r>
      <w:r>
        <w:rPr>
          <w:b/>
          <w:bCs/>
        </w:rPr>
        <w:t xml:space="preserve">$147 million</w:t>
      </w:r>
      <w:r>
        <w:t xml:space="preserve">, up 11%</w:t>
      </w:r>
    </w:p>
    <w:p>
      <w:pPr>
        <w:pStyle w:val="Compact"/>
        <w:numPr>
          <w:ilvl w:val="0"/>
          <w:numId w:val="1004"/>
        </w:numPr>
      </w:pPr>
      <w:r>
        <w:t xml:space="preserve">EBITDA margin of</w:t>
      </w:r>
      <w:r>
        <w:t xml:space="preserve"> </w:t>
      </w:r>
      <w:r>
        <w:rPr>
          <w:b/>
          <w:bCs/>
        </w:rPr>
        <w:t xml:space="preserve">23.7%</w:t>
      </w:r>
    </w:p>
    <w:p>
      <w:pPr>
        <w:pStyle w:val="Compact"/>
        <w:numPr>
          <w:ilvl w:val="0"/>
          <w:numId w:val="1004"/>
        </w:numPr>
      </w:pPr>
      <w:r>
        <w:t xml:space="preserve">Risk &amp; Compliance revenue up</w:t>
      </w:r>
      <w:r>
        <w:t xml:space="preserve"> </w:t>
      </w:r>
      <w:r>
        <w:rPr>
          <w:b/>
          <w:bCs/>
        </w:rPr>
        <w:t xml:space="preserve">19%</w:t>
      </w:r>
    </w:p>
    <w:p>
      <w:pPr>
        <w:pStyle w:val="Compact"/>
        <w:numPr>
          <w:ilvl w:val="0"/>
          <w:numId w:val="1004"/>
        </w:numPr>
      </w:pPr>
      <w:r>
        <w:t xml:space="preserve">Dow Jones Energy revenue up</w:t>
      </w:r>
      <w:r>
        <w:t xml:space="preserve"> </w:t>
      </w:r>
      <w:r>
        <w:rPr>
          <w:b/>
          <w:bCs/>
        </w:rPr>
        <w:t xml:space="preserve">12%</w:t>
      </w:r>
    </w:p>
    <w:p>
      <w:pPr>
        <w:pStyle w:val="Compact"/>
        <w:numPr>
          <w:ilvl w:val="0"/>
          <w:numId w:val="1004"/>
        </w:numPr>
      </w:pPr>
      <w:r>
        <w:t xml:space="preserve">Digital advertising up</w:t>
      </w:r>
      <w:r>
        <w:t xml:space="preserve"> </w:t>
      </w:r>
      <w:r>
        <w:rPr>
          <w:b/>
          <w:bCs/>
        </w:rPr>
        <w:t xml:space="preserve">13%</w:t>
      </w:r>
    </w:p>
    <w:p>
      <w:pPr>
        <w:pStyle w:val="Compact"/>
        <w:numPr>
          <w:ilvl w:val="0"/>
          <w:numId w:val="1004"/>
        </w:numPr>
      </w:pPr>
      <w:r>
        <w:t xml:space="preserve">Digital revenue equal to</w:t>
      </w:r>
      <w:r>
        <w:t xml:space="preserve"> </w:t>
      </w:r>
      <w:r>
        <w:rPr>
          <w:b/>
          <w:bCs/>
        </w:rPr>
        <w:t xml:space="preserve">84%</w:t>
      </w:r>
      <w:r>
        <w:t xml:space="preserve"> </w:t>
      </w:r>
      <w:r>
        <w:t xml:space="preserve">of segment revenue</w:t>
      </w:r>
    </w:p>
    <w:p>
      <w:pPr>
        <w:pStyle w:val="Compact"/>
        <w:numPr>
          <w:ilvl w:val="0"/>
          <w:numId w:val="1004"/>
        </w:numPr>
      </w:pPr>
      <w:r>
        <w:t xml:space="preserve">Consumer subscriptions above</w:t>
      </w:r>
      <w:r>
        <w:t xml:space="preserve"> </w:t>
      </w:r>
      <w:r>
        <w:rPr>
          <w:b/>
          <w:bCs/>
        </w:rPr>
        <w:t xml:space="preserve">6.5 million</w:t>
      </w:r>
    </w:p>
    <w:p>
      <w:pPr>
        <w:pStyle w:val="Compact"/>
        <w:numPr>
          <w:ilvl w:val="0"/>
          <w:numId w:val="1004"/>
        </w:numPr>
      </w:pPr>
      <w:r>
        <w:t xml:space="preserve">Wall Street Journal digital-only subscriptions up</w:t>
      </w:r>
      <w:r>
        <w:t xml:space="preserve"> </w:t>
      </w:r>
      <w:r>
        <w:rPr>
          <w:b/>
          <w:bCs/>
        </w:rPr>
        <w:t xml:space="preserve">11%</w:t>
      </w:r>
    </w:p>
    <w:p>
      <w:pPr>
        <w:pStyle w:val="FirstParagraph"/>
      </w:pPr>
      <w:r>
        <w:t xml:space="preserve">Management expects Dow Jones to reach</w:t>
      </w:r>
      <w:r>
        <w:t xml:space="preserve"> </w:t>
      </w:r>
      <w:r>
        <w:rPr>
          <w:b/>
          <w:bCs/>
        </w:rPr>
        <w:t xml:space="preserve">$1 billion of annual Segment EBITDA within five years</w:t>
      </w:r>
      <w:r>
        <w:t xml:space="preserve">, versus $588 million in fiscal 2025. It has characterized that target as primarily organic, with only small bolt-on acquisitions embedded in the plan.</w:t>
      </w:r>
    </w:p>
    <w:bookmarkStart w:id="13" w:name="what-investors-should-watch"/>
    <w:p>
      <w:pPr>
        <w:pStyle w:val="Heading4"/>
      </w:pPr>
      <w:r>
        <w:t xml:space="preserve">What investors should watch</w:t>
      </w:r>
    </w:p>
    <w:p>
      <w:pPr>
        <w:pStyle w:val="Compact"/>
        <w:numPr>
          <w:ilvl w:val="0"/>
          <w:numId w:val="1005"/>
        </w:numPr>
      </w:pPr>
      <w:r>
        <w:rPr>
          <w:b/>
          <w:bCs/>
        </w:rPr>
        <w:t xml:space="preserve">Risk &amp; Compliance:</w:t>
      </w:r>
      <w:r>
        <w:t xml:space="preserve"> </w:t>
      </w:r>
      <w:r>
        <w:t xml:space="preserve">Growth near the mid-to-high teens would support the long-term target. A sharp deceleration would call the Investor Day framework into question.</w:t>
      </w:r>
    </w:p>
    <w:p>
      <w:pPr>
        <w:pStyle w:val="Compact"/>
        <w:numPr>
          <w:ilvl w:val="0"/>
          <w:numId w:val="1005"/>
        </w:numPr>
      </w:pPr>
      <w:r>
        <w:rPr>
          <w:b/>
          <w:bCs/>
        </w:rPr>
        <w:t xml:space="preserve">Dow Jones Energy:</w:t>
      </w:r>
      <w:r>
        <w:t xml:space="preserve"> </w:t>
      </w:r>
      <w:r>
        <w:t xml:space="preserve">Double-digit growth, approximately 90% customer retention and new pricing benchmarks are key.</w:t>
      </w:r>
    </w:p>
    <w:p>
      <w:pPr>
        <w:pStyle w:val="Compact"/>
        <w:numPr>
          <w:ilvl w:val="0"/>
          <w:numId w:val="1005"/>
        </w:numPr>
      </w:pPr>
      <w:r>
        <w:rPr>
          <w:b/>
          <w:bCs/>
        </w:rPr>
        <w:t xml:space="preserve">Subscription economics:</w:t>
      </w:r>
      <w:r>
        <w:t xml:space="preserve"> </w:t>
      </w:r>
      <w:r>
        <w:t xml:space="preserve">Management raised the full-price Wall Street Journal digital rate to $44.99 per month and expected better direct-subscription ARPU in 4Q.</w:t>
      </w:r>
    </w:p>
    <w:p>
      <w:pPr>
        <w:pStyle w:val="Compact"/>
        <w:numPr>
          <w:ilvl w:val="0"/>
          <w:numId w:val="1005"/>
        </w:numPr>
      </w:pPr>
      <w:r>
        <w:rPr>
          <w:b/>
          <w:bCs/>
        </w:rPr>
        <w:t xml:space="preserve">Enterprise subscriptions:</w:t>
      </w:r>
      <w:r>
        <w:t xml:space="preserve"> </w:t>
      </w:r>
      <w:r>
        <w:t xml:space="preserve">Management expected notably higher fourth-quarter net additions from enterprise partnerships.</w:t>
      </w:r>
    </w:p>
    <w:p>
      <w:pPr>
        <w:pStyle w:val="Compact"/>
        <w:numPr>
          <w:ilvl w:val="0"/>
          <w:numId w:val="1005"/>
        </w:numPr>
      </w:pPr>
      <w:r>
        <w:rPr>
          <w:b/>
          <w:bCs/>
        </w:rPr>
        <w:t xml:space="preserve">Margins:</w:t>
      </w:r>
      <w:r>
        <w:t xml:space="preserve"> </w:t>
      </w:r>
      <w:r>
        <w:t xml:space="preserve">Revenue growth without margin expansion would suggest investment or employee costs are absorbing too much of the benefit.</w:t>
      </w:r>
    </w:p>
    <w:p>
      <w:pPr>
        <w:pStyle w:val="FirstParagraph"/>
      </w:pPr>
      <w:r>
        <w:t xml:space="preserve">A strong quarter would probably mean</w:t>
      </w:r>
      <w:r>
        <w:t xml:space="preserve"> </w:t>
      </w:r>
      <w:r>
        <w:rPr>
          <w:b/>
          <w:bCs/>
        </w:rPr>
        <w:t xml:space="preserve">high-single-digit revenue growth, double-digit EBITDA growth and further margin expansion</w:t>
      </w:r>
      <w:r>
        <w:t xml:space="preserve">.</w:t>
      </w:r>
    </w:p>
    <w:p>
      <w:r>
        <w:pict>
          <v:rect style="width:0;height:1.5pt" o:hralign="center" o:hrstd="t" o:hr="t"/>
        </w:pict>
      </w:r>
    </w:p>
    <w:bookmarkEnd w:id="13"/>
    <w:bookmarkEnd w:id="14"/>
    <w:bookmarkStart w:id="18" w:name="X8e2e06292fe6ea74777df8c6eae0dcb3500cff9"/>
    <w:p>
      <w:pPr>
        <w:pStyle w:val="Heading3"/>
      </w:pPr>
      <w:r>
        <w:t xml:space="preserve">2. Digital Real Estate: REA strength plus the Realtor.com turnaround</w:t>
      </w:r>
    </w:p>
    <w:p>
      <w:pPr>
        <w:pStyle w:val="FirstParagraph"/>
      </w:pPr>
      <w:r>
        <w:t xml:space="preserve">Fiscal 3Q26 Digital Real Estate Services revenue rose 17%, while Segment EBITDA increased 25%. Adjusted growth was 8% and 16%, respectively.</w:t>
      </w:r>
    </w:p>
    <w:bookmarkStart w:id="15" w:name="rea-group"/>
    <w:p>
      <w:pPr>
        <w:pStyle w:val="Heading4"/>
      </w:pPr>
      <w:r>
        <w:t xml:space="preserve">REA Group</w:t>
      </w:r>
    </w:p>
    <w:p>
      <w:pPr>
        <w:pStyle w:val="FirstParagraph"/>
      </w:pPr>
      <w:r>
        <w:t xml:space="preserve">REA’s third-quarter revenue increased 20% to $325 million, though currency contributed approximately 12 percentage points. Constant-currency growth was 8%, supported by Australian pricing, product upgrades and mix.</w:t>
      </w:r>
    </w:p>
    <w:p>
      <w:pPr>
        <w:pStyle w:val="BodyText"/>
      </w:pPr>
      <w:r>
        <w:t xml:space="preserve">Management also disclosed that Australian residential buy listings increased</w:t>
      </w:r>
      <w:r>
        <w:t xml:space="preserve"> </w:t>
      </w:r>
      <w:r>
        <w:rPr>
          <w:b/>
          <w:bCs/>
        </w:rPr>
        <w:t xml:space="preserve">19% in April</w:t>
      </w:r>
      <w:r>
        <w:t xml:space="preserve">, giving the fourth quarter a favorable start.</w:t>
      </w:r>
    </w:p>
    <w:p>
      <w:pPr>
        <w:pStyle w:val="BodyText"/>
      </w:pPr>
      <w:r>
        <w:t xml:space="preserve">Investors should separate:</w:t>
      </w:r>
    </w:p>
    <w:p>
      <w:pPr>
        <w:pStyle w:val="Compact"/>
        <w:numPr>
          <w:ilvl w:val="0"/>
          <w:numId w:val="1006"/>
        </w:numPr>
      </w:pPr>
      <w:r>
        <w:t xml:space="preserve">Listing-volume growth</w:t>
      </w:r>
    </w:p>
    <w:p>
      <w:pPr>
        <w:pStyle w:val="Compact"/>
        <w:numPr>
          <w:ilvl w:val="0"/>
          <w:numId w:val="1006"/>
        </w:numPr>
      </w:pPr>
      <w:r>
        <w:t xml:space="preserve">Price and yield increases</w:t>
      </w:r>
    </w:p>
    <w:p>
      <w:pPr>
        <w:pStyle w:val="Compact"/>
        <w:numPr>
          <w:ilvl w:val="0"/>
          <w:numId w:val="1006"/>
        </w:numPr>
      </w:pPr>
      <w:r>
        <w:t xml:space="preserve">Product-depth penetration</w:t>
      </w:r>
    </w:p>
    <w:p>
      <w:pPr>
        <w:pStyle w:val="Compact"/>
        <w:numPr>
          <w:ilvl w:val="0"/>
          <w:numId w:val="1006"/>
        </w:numPr>
      </w:pPr>
      <w:r>
        <w:t xml:space="preserve">Currency translation</w:t>
      </w:r>
    </w:p>
    <w:p>
      <w:pPr>
        <w:pStyle w:val="Compact"/>
        <w:numPr>
          <w:ilvl w:val="0"/>
          <w:numId w:val="1006"/>
        </w:numPr>
      </w:pPr>
      <w:r>
        <w:t xml:space="preserve">Financial-services growth</w:t>
      </w:r>
    </w:p>
    <w:bookmarkEnd w:id="15"/>
    <w:bookmarkStart w:id="16" w:name="realtorcom--move"/>
    <w:p>
      <w:pPr>
        <w:pStyle w:val="Heading4"/>
      </w:pPr>
      <w:r>
        <w:t xml:space="preserve">Realtor.com / Move</w:t>
      </w:r>
    </w:p>
    <w:p>
      <w:pPr>
        <w:pStyle w:val="FirstParagraph"/>
      </w:pPr>
      <w:r>
        <w:t xml:space="preserve">Realtor.com may be the most meaningful swing factor relative to expectations.</w:t>
      </w:r>
    </w:p>
    <w:p>
      <w:pPr>
        <w:pStyle w:val="BodyText"/>
      </w:pPr>
      <w:r>
        <w:t xml:space="preserve">Third-quarter revenue increased</w:t>
      </w:r>
      <w:r>
        <w:t xml:space="preserve"> </w:t>
      </w:r>
      <w:r>
        <w:rPr>
          <w:b/>
          <w:bCs/>
        </w:rPr>
        <w:t xml:space="preserve">10% to $148 million</w:t>
      </w:r>
      <w:r>
        <w:t xml:space="preserve">, despite elevated mortgage rates and low existing-home sales. The improvement was driven by:</w:t>
      </w:r>
    </w:p>
    <w:p>
      <w:pPr>
        <w:pStyle w:val="Compact"/>
        <w:numPr>
          <w:ilvl w:val="0"/>
          <w:numId w:val="1007"/>
        </w:numPr>
      </w:pPr>
      <w:r>
        <w:t xml:space="preserve">RealPRO Select and other premium products</w:t>
      </w:r>
    </w:p>
    <w:p>
      <w:pPr>
        <w:pStyle w:val="Compact"/>
        <w:numPr>
          <w:ilvl w:val="0"/>
          <w:numId w:val="1007"/>
        </w:numPr>
      </w:pPr>
      <w:r>
        <w:t xml:space="preserve">Better revenue per lead</w:t>
      </w:r>
    </w:p>
    <w:p>
      <w:pPr>
        <w:pStyle w:val="Compact"/>
        <w:numPr>
          <w:ilvl w:val="0"/>
          <w:numId w:val="1007"/>
        </w:numPr>
      </w:pPr>
      <w:r>
        <w:t xml:space="preserve">6% lead-volume growth</w:t>
      </w:r>
    </w:p>
    <w:p>
      <w:pPr>
        <w:pStyle w:val="Compact"/>
        <w:numPr>
          <w:ilvl w:val="0"/>
          <w:numId w:val="1007"/>
        </w:numPr>
      </w:pPr>
      <w:r>
        <w:t xml:space="preserve">Seller, rental and new-home adjacencies</w:t>
      </w:r>
    </w:p>
    <w:p>
      <w:pPr>
        <w:pStyle w:val="Compact"/>
        <w:numPr>
          <w:ilvl w:val="0"/>
          <w:numId w:val="1007"/>
        </w:numPr>
      </w:pPr>
      <w:r>
        <w:t xml:space="preserve">Improving traffic share</w:t>
      </w:r>
    </w:p>
    <w:p>
      <w:pPr>
        <w:pStyle w:val="FirstParagraph"/>
      </w:pPr>
      <w:r>
        <w:t xml:space="preserve">Management said Realtor.com’s trailing revenue per existing-home sale was more than 20% above the comparable fiscal 2022 level. If that improvement persists, the business could have substantial operating leverage when housing transactions eventually recover.</w:t>
      </w:r>
    </w:p>
    <w:bookmarkEnd w:id="16"/>
    <w:bookmarkStart w:id="17" w:name="what-would-be-encouraging"/>
    <w:p>
      <w:pPr>
        <w:pStyle w:val="Heading4"/>
      </w:pPr>
      <w:r>
        <w:t xml:space="preserve">What would be encouraging?</w:t>
      </w:r>
    </w:p>
    <w:p>
      <w:pPr>
        <w:pStyle w:val="Compact"/>
        <w:numPr>
          <w:ilvl w:val="0"/>
          <w:numId w:val="1008"/>
        </w:numPr>
      </w:pPr>
      <w:r>
        <w:t xml:space="preserve">Another quarter of high-single- or double-digit Realtor.com revenue growth</w:t>
      </w:r>
    </w:p>
    <w:p>
      <w:pPr>
        <w:pStyle w:val="Compact"/>
        <w:numPr>
          <w:ilvl w:val="0"/>
          <w:numId w:val="1008"/>
        </w:numPr>
      </w:pPr>
      <w:r>
        <w:t xml:space="preserve">Continued EBITDA improvement despite normalized marketing spending</w:t>
      </w:r>
    </w:p>
    <w:p>
      <w:pPr>
        <w:pStyle w:val="Compact"/>
        <w:numPr>
          <w:ilvl w:val="0"/>
          <w:numId w:val="1008"/>
        </w:numPr>
      </w:pPr>
      <w:r>
        <w:t xml:space="preserve">Stable or higher portal-visit share</w:t>
      </w:r>
    </w:p>
    <w:p>
      <w:pPr>
        <w:pStyle w:val="Compact"/>
        <w:numPr>
          <w:ilvl w:val="0"/>
          <w:numId w:val="1008"/>
        </w:numPr>
      </w:pPr>
      <w:r>
        <w:t xml:space="preserve">Adjacencies remaining above 20% of Realtor.com revenue</w:t>
      </w:r>
    </w:p>
    <w:p>
      <w:pPr>
        <w:pStyle w:val="Compact"/>
        <w:numPr>
          <w:ilvl w:val="0"/>
          <w:numId w:val="1008"/>
        </w:numPr>
      </w:pPr>
      <w:r>
        <w:t xml:space="preserve">No deterioration in lead quality or customer retention</w:t>
      </w:r>
    </w:p>
    <w:p>
      <w:pPr>
        <w:pStyle w:val="FirstParagraph"/>
      </w:pPr>
      <w:r>
        <w:t xml:space="preserve">The risk is that mortgage rates and housing affordability finally overwhelm recent company-specific improvements.</w:t>
      </w:r>
    </w:p>
    <w:p>
      <w:r>
        <w:pict>
          <v:rect style="width:0;height:1.5pt" o:hralign="center" o:hrstd="t" o:hr="t"/>
        </w:pict>
      </w:r>
    </w:p>
    <w:bookmarkEnd w:id="17"/>
    <w:bookmarkEnd w:id="18"/>
    <w:bookmarkStart w:id="20" w:name="Xd235845d07182f806ffe0b32555bcb8aa5c0c71"/>
    <w:p>
      <w:pPr>
        <w:pStyle w:val="Heading3"/>
      </w:pPr>
      <w:r>
        <w:t xml:space="preserve">3. HarperCollins: easier comparison, but title volatility remains</w:t>
      </w:r>
    </w:p>
    <w:p>
      <w:pPr>
        <w:pStyle w:val="FirstParagraph"/>
      </w:pPr>
      <w:r>
        <w:t xml:space="preserve">Book Publishing delivered a strong fiscal third quarter:</w:t>
      </w:r>
    </w:p>
    <w:p>
      <w:pPr>
        <w:pStyle w:val="Compact"/>
        <w:numPr>
          <w:ilvl w:val="0"/>
          <w:numId w:val="1009"/>
        </w:numPr>
      </w:pPr>
      <w:r>
        <w:t xml:space="preserve">Revenue up</w:t>
      </w:r>
      <w:r>
        <w:t xml:space="preserve"> </w:t>
      </w:r>
      <w:r>
        <w:rPr>
          <w:b/>
          <w:bCs/>
        </w:rPr>
        <w:t xml:space="preserve">8% to $555 million</w:t>
      </w:r>
    </w:p>
    <w:p>
      <w:pPr>
        <w:pStyle w:val="Compact"/>
        <w:numPr>
          <w:ilvl w:val="0"/>
          <w:numId w:val="1009"/>
        </w:numPr>
      </w:pPr>
      <w:r>
        <w:t xml:space="preserve">Segment EBITDA up</w:t>
      </w:r>
      <w:r>
        <w:t xml:space="preserve"> </w:t>
      </w:r>
      <w:r>
        <w:rPr>
          <w:b/>
          <w:bCs/>
        </w:rPr>
        <w:t xml:space="preserve">14% to $73 million</w:t>
      </w:r>
    </w:p>
    <w:p>
      <w:pPr>
        <w:pStyle w:val="Compact"/>
        <w:numPr>
          <w:ilvl w:val="0"/>
          <w:numId w:val="1009"/>
        </w:numPr>
      </w:pPr>
      <w:r>
        <w:t xml:space="preserve">Digital sales up</w:t>
      </w:r>
      <w:r>
        <w:t xml:space="preserve"> </w:t>
      </w:r>
      <w:r>
        <w:rPr>
          <w:b/>
          <w:bCs/>
        </w:rPr>
        <w:t xml:space="preserve">11%</w:t>
      </w:r>
    </w:p>
    <w:p>
      <w:pPr>
        <w:pStyle w:val="Compact"/>
        <w:numPr>
          <w:ilvl w:val="0"/>
          <w:numId w:val="1009"/>
        </w:numPr>
      </w:pPr>
      <w:r>
        <w:t xml:space="preserve">Backlist equal to</w:t>
      </w:r>
      <w:r>
        <w:t xml:space="preserve"> </w:t>
      </w:r>
      <w:r>
        <w:rPr>
          <w:b/>
          <w:bCs/>
        </w:rPr>
        <w:t xml:space="preserve">64% of consumer revenue</w:t>
      </w:r>
    </w:p>
    <w:p>
      <w:pPr>
        <w:pStyle w:val="FirstParagraph"/>
      </w:pPr>
      <w:r>
        <w:t xml:space="preserve">Growth benefited materially from Rachel Reid’s</w:t>
      </w:r>
      <w:r>
        <w:t xml:space="preserve"> </w:t>
      </w:r>
      <w:r>
        <w:rPr>
          <w:i/>
          <w:iCs/>
        </w:rPr>
        <w:t xml:space="preserve">Game Changers</w:t>
      </w:r>
      <w:r>
        <w:t xml:space="preserve"> </w:t>
      </w:r>
      <w:r>
        <w:t xml:space="preserve">series and interest generated by the</w:t>
      </w:r>
      <w:r>
        <w:t xml:space="preserve"> </w:t>
      </w:r>
      <w:r>
        <w:rPr>
          <w:i/>
          <w:iCs/>
        </w:rPr>
        <w:t xml:space="preserve">Heated Rivalry</w:t>
      </w:r>
      <w:r>
        <w:t xml:space="preserve"> </w:t>
      </w:r>
      <w:r>
        <w:t xml:space="preserve">adaptation.</w:t>
      </w:r>
    </w:p>
    <w:p>
      <w:pPr>
        <w:pStyle w:val="BodyText"/>
      </w:pPr>
      <w:r>
        <w:t xml:space="preserve">The fiscal fourth-quarter comparison is relatively favorable: in 4Q25, HarperCollins revenue fell 4% to $494 million and Segment EBITDA declined 12% to $50 million.</w:t>
      </w:r>
    </w:p>
    <w:p>
      <w:pPr>
        <w:pStyle w:val="BodyText"/>
      </w:pPr>
      <w:r>
        <w:t xml:space="preserve">Management entered the quarter expecting a stronger frontlist, including releases from J.D. Vance, Ann Patchett, Alex Aster and Laurie Gilmore.</w:t>
      </w:r>
    </w:p>
    <w:bookmarkStart w:id="19" w:name="key-questions"/>
    <w:p>
      <w:pPr>
        <w:pStyle w:val="Heading4"/>
      </w:pPr>
      <w:r>
        <w:t xml:space="preserve">Key questions</w:t>
      </w:r>
    </w:p>
    <w:p>
      <w:pPr>
        <w:pStyle w:val="Compact"/>
        <w:numPr>
          <w:ilvl w:val="0"/>
          <w:numId w:val="1010"/>
        </w:numPr>
      </w:pPr>
      <w:r>
        <w:t xml:space="preserve">Did the strong third-quarter title momentum continue?</w:t>
      </w:r>
    </w:p>
    <w:p>
      <w:pPr>
        <w:pStyle w:val="Compact"/>
        <w:numPr>
          <w:ilvl w:val="0"/>
          <w:numId w:val="1010"/>
        </w:numPr>
      </w:pPr>
      <w:r>
        <w:t xml:space="preserve">Did the stronger frontlist produce growth beyond a weak comparison?</w:t>
      </w:r>
    </w:p>
    <w:p>
      <w:pPr>
        <w:pStyle w:val="Compact"/>
        <w:numPr>
          <w:ilvl w:val="0"/>
          <w:numId w:val="1010"/>
        </w:numPr>
      </w:pPr>
      <w:r>
        <w:t xml:space="preserve">Are audiobook and e-book trends still positive?</w:t>
      </w:r>
    </w:p>
    <w:p>
      <w:pPr>
        <w:pStyle w:val="Compact"/>
        <w:numPr>
          <w:ilvl w:val="0"/>
          <w:numId w:val="1010"/>
        </w:numPr>
      </w:pPr>
      <w:r>
        <w:t xml:space="preserve">Can margins improve as higher digital sales offset title and distribution costs?</w:t>
      </w:r>
    </w:p>
    <w:p>
      <w:pPr>
        <w:pStyle w:val="Compact"/>
        <w:numPr>
          <w:ilvl w:val="0"/>
          <w:numId w:val="1010"/>
        </w:numPr>
      </w:pPr>
      <w:r>
        <w:t xml:space="preserve">Is management seeing any meaningful proceeds or timing benefit from the Anthropic author/publisher settlement?</w:t>
      </w:r>
    </w:p>
    <w:p>
      <w:pPr>
        <w:pStyle w:val="FirstParagraph"/>
      </w:pPr>
      <w:r>
        <w:t xml:space="preserve">Book Publishing should contribute to growth, but investors should avoid extrapolating a title-driven quarter too aggressively.</w:t>
      </w:r>
    </w:p>
    <w:p>
      <w:r>
        <w:pict>
          <v:rect style="width:0;height:1.5pt" o:hralign="center" o:hrstd="t" o:hr="t"/>
        </w:pict>
      </w:r>
    </w:p>
    <w:bookmarkEnd w:id="19"/>
    <w:bookmarkEnd w:id="20"/>
    <w:bookmarkStart w:id="22" w:name="Xa89bfbea14854d2e5fe2d805da3b7738fceed86"/>
    <w:p>
      <w:pPr>
        <w:pStyle w:val="Heading3"/>
      </w:pPr>
      <w:r>
        <w:t xml:space="preserve">4. News Media: likely the main drag</w:t>
      </w:r>
    </w:p>
    <w:p>
      <w:pPr>
        <w:pStyle w:val="FirstParagraph"/>
      </w:pPr>
      <w:r>
        <w:t xml:space="preserve">News Media remains the portfolio’s weakest operating segment.</w:t>
      </w:r>
    </w:p>
    <w:p>
      <w:pPr>
        <w:pStyle w:val="BodyText"/>
      </w:pPr>
      <w:r>
        <w:t xml:space="preserve">Fiscal 3Q26 revenue increased 5% because of currency, while adjusted revenue declined 2%. Segment EBITDA fell</w:t>
      </w:r>
      <w:r>
        <w:t xml:space="preserve"> </w:t>
      </w:r>
      <w:r>
        <w:rPr>
          <w:b/>
          <w:bCs/>
        </w:rPr>
        <w:t xml:space="preserve">55% to $15 million</w:t>
      </w:r>
      <w:r>
        <w:t xml:space="preserve">, reflecting:</w:t>
      </w:r>
    </w:p>
    <w:p>
      <w:pPr>
        <w:pStyle w:val="Compact"/>
        <w:numPr>
          <w:ilvl w:val="0"/>
          <w:numId w:val="1011"/>
        </w:numPr>
      </w:pPr>
      <w:r>
        <w:t xml:space="preserve">Lower contribution from News UK</w:t>
      </w:r>
    </w:p>
    <w:p>
      <w:pPr>
        <w:pStyle w:val="Compact"/>
        <w:numPr>
          <w:ilvl w:val="0"/>
          <w:numId w:val="1011"/>
        </w:numPr>
      </w:pPr>
      <w:r>
        <w:t xml:space="preserve">Continuing print declines</w:t>
      </w:r>
    </w:p>
    <w:p>
      <w:pPr>
        <w:pStyle w:val="Compact"/>
        <w:numPr>
          <w:ilvl w:val="0"/>
          <w:numId w:val="1011"/>
        </w:numPr>
      </w:pPr>
      <w:r>
        <w:t xml:space="preserve">California Post launch expenses</w:t>
      </w:r>
    </w:p>
    <w:p>
      <w:pPr>
        <w:pStyle w:val="Compact"/>
        <w:numPr>
          <w:ilvl w:val="0"/>
          <w:numId w:val="1011"/>
        </w:numPr>
      </w:pPr>
      <w:r>
        <w:t xml:space="preserve">Advertising pressure</w:t>
      </w:r>
    </w:p>
    <w:p>
      <w:pPr>
        <w:pStyle w:val="FirstParagraph"/>
      </w:pPr>
      <w:r>
        <w:t xml:space="preserve">Management expected some fourth-quarter benefit from new content-licensing revenue, but also incremental California Post costs.</w:t>
      </w:r>
    </w:p>
    <w:bookmarkStart w:id="21" w:name="what-matters"/>
    <w:p>
      <w:pPr>
        <w:pStyle w:val="Heading4"/>
      </w:pPr>
      <w:r>
        <w:t xml:space="preserve">What matters</w:t>
      </w:r>
    </w:p>
    <w:p>
      <w:pPr>
        <w:pStyle w:val="Compact"/>
        <w:numPr>
          <w:ilvl w:val="0"/>
          <w:numId w:val="1012"/>
        </w:numPr>
      </w:pPr>
      <w:r>
        <w:t xml:space="preserve">Whether licensing revenue can offset print declines</w:t>
      </w:r>
    </w:p>
    <w:p>
      <w:pPr>
        <w:pStyle w:val="Compact"/>
        <w:numPr>
          <w:ilvl w:val="0"/>
          <w:numId w:val="1012"/>
        </w:numPr>
      </w:pPr>
      <w:r>
        <w:t xml:space="preserve">The level and expected duration of California Post losses</w:t>
      </w:r>
    </w:p>
    <w:p>
      <w:pPr>
        <w:pStyle w:val="Compact"/>
        <w:numPr>
          <w:ilvl w:val="0"/>
          <w:numId w:val="1012"/>
        </w:numPr>
      </w:pPr>
      <w:r>
        <w:t xml:space="preserve">Digital subscriber growth at The Times and News Corp Australia</w:t>
      </w:r>
    </w:p>
    <w:p>
      <w:pPr>
        <w:pStyle w:val="Compact"/>
        <w:numPr>
          <w:ilvl w:val="0"/>
          <w:numId w:val="1012"/>
        </w:numPr>
      </w:pPr>
      <w:r>
        <w:t xml:space="preserve">Advertising trends at The Sun, New York Post and Australian mastheads</w:t>
      </w:r>
    </w:p>
    <w:p>
      <w:pPr>
        <w:pStyle w:val="Compact"/>
        <w:numPr>
          <w:ilvl w:val="0"/>
          <w:numId w:val="1012"/>
        </w:numPr>
      </w:pPr>
      <w:r>
        <w:t xml:space="preserve">Additional cost savings from News UK’s printing partnership with DMG Media</w:t>
      </w:r>
    </w:p>
    <w:p>
      <w:pPr>
        <w:pStyle w:val="FirstParagraph"/>
      </w:pPr>
      <w:r>
        <w:t xml:space="preserve">A stabilization in EBITDA would be a positive surprise. Another large decline would raise questions about whether investment in new news products is diluting the value created elsewhere.</w:t>
      </w:r>
    </w:p>
    <w:p>
      <w:r>
        <w:pict>
          <v:rect style="width:0;height:1.5pt" o:hralign="center" o:hrstd="t" o:hr="t"/>
        </w:pict>
      </w:r>
    </w:p>
    <w:bookmarkEnd w:id="21"/>
    <w:bookmarkEnd w:id="22"/>
    <w:bookmarkEnd w:id="23"/>
    <w:bookmarkStart w:id="25" w:name="Xe5a724e09fd47e488b89e80f3a47e34f8432139"/>
    <w:p>
      <w:pPr>
        <w:pStyle w:val="Heading2"/>
      </w:pPr>
      <w:r>
        <w:t xml:space="preserve">AI and content licensing: demand financial disclosure</w:t>
      </w:r>
    </w:p>
    <w:p>
      <w:pPr>
        <w:pStyle w:val="FirstParagraph"/>
      </w:pPr>
      <w:r>
        <w:t xml:space="preserve">Management has positioned News Corp as an “AI inputs” company because it owns current journalism, archives, books, real-estate data and specialist business information.</w:t>
      </w:r>
    </w:p>
    <w:p>
      <w:pPr>
        <w:pStyle w:val="BodyText"/>
      </w:pPr>
      <w:r>
        <w:t xml:space="preserve">The company has discussed:</w:t>
      </w:r>
    </w:p>
    <w:p>
      <w:pPr>
        <w:pStyle w:val="Compact"/>
        <w:numPr>
          <w:ilvl w:val="0"/>
          <w:numId w:val="1013"/>
        </w:numPr>
      </w:pPr>
      <w:r>
        <w:t xml:space="preserve">Its OpenAI partnership</w:t>
      </w:r>
    </w:p>
    <w:p>
      <w:pPr>
        <w:pStyle w:val="Compact"/>
        <w:numPr>
          <w:ilvl w:val="0"/>
          <w:numId w:val="1013"/>
        </w:numPr>
      </w:pPr>
      <w:r>
        <w:t xml:space="preserve">A newer agreement with Meta</w:t>
      </w:r>
    </w:p>
    <w:p>
      <w:pPr>
        <w:pStyle w:val="Compact"/>
        <w:numPr>
          <w:ilvl w:val="0"/>
          <w:numId w:val="1013"/>
        </w:numPr>
      </w:pPr>
      <w:r>
        <w:t xml:space="preserve">Bloomberg’s purchase of certain Dow Jones AI rights</w:t>
      </w:r>
    </w:p>
    <w:p>
      <w:pPr>
        <w:pStyle w:val="Compact"/>
        <w:numPr>
          <w:ilvl w:val="0"/>
          <w:numId w:val="1013"/>
        </w:numPr>
      </w:pPr>
      <w:r>
        <w:t xml:space="preserve">Additional negotiations with horizontal and specialist AI companies</w:t>
      </w:r>
    </w:p>
    <w:p>
      <w:pPr>
        <w:pStyle w:val="Compact"/>
        <w:numPr>
          <w:ilvl w:val="0"/>
          <w:numId w:val="1013"/>
        </w:numPr>
      </w:pPr>
      <w:r>
        <w:t xml:space="preserve">Litigation against alleged unauthorized users of its content</w:t>
      </w:r>
    </w:p>
    <w:p>
      <w:pPr>
        <w:pStyle w:val="Compact"/>
        <w:numPr>
          <w:ilvl w:val="0"/>
          <w:numId w:val="1013"/>
        </w:numPr>
      </w:pPr>
      <w:r>
        <w:t xml:space="preserve">Expected publisher and author proceeds from the Anthropic settlement</w:t>
      </w:r>
    </w:p>
    <w:p>
      <w:pPr>
        <w:pStyle w:val="FirstParagraph"/>
      </w:pPr>
      <w:r>
        <w:t xml:space="preserve">The strategic logic is credible: high-quality, continuously updated data should have value to AI developers. But investors still lack enough information to value the opportunity.</w:t>
      </w:r>
    </w:p>
    <w:bookmarkStart w:id="24" w:name="the-key-questions-for-the-call"/>
    <w:p>
      <w:pPr>
        <w:pStyle w:val="Heading3"/>
      </w:pPr>
      <w:r>
        <w:t xml:space="preserve">The key questions for the call</w:t>
      </w:r>
    </w:p>
    <w:p>
      <w:pPr>
        <w:pStyle w:val="Compact"/>
        <w:numPr>
          <w:ilvl w:val="0"/>
          <w:numId w:val="1014"/>
        </w:numPr>
      </w:pPr>
      <w:r>
        <w:t xml:space="preserve">How much fiscal 2026 revenue and EBITDA came from AI-related licensing?</w:t>
      </w:r>
    </w:p>
    <w:p>
      <w:pPr>
        <w:pStyle w:val="Compact"/>
        <w:numPr>
          <w:ilvl w:val="0"/>
          <w:numId w:val="1014"/>
        </w:numPr>
      </w:pPr>
      <w:r>
        <w:t xml:space="preserve">How much is included in fiscal 2027’s baseline?</w:t>
      </w:r>
    </w:p>
    <w:p>
      <w:pPr>
        <w:pStyle w:val="Compact"/>
        <w:numPr>
          <w:ilvl w:val="0"/>
          <w:numId w:val="1014"/>
        </w:numPr>
      </w:pPr>
      <w:r>
        <w:t xml:space="preserve">Are the contracts recurring, usage-based, fixed-fee or partly noncash?</w:t>
      </w:r>
    </w:p>
    <w:p>
      <w:pPr>
        <w:pStyle w:val="Compact"/>
        <w:numPr>
          <w:ilvl w:val="0"/>
          <w:numId w:val="1014"/>
        </w:numPr>
      </w:pPr>
      <w:r>
        <w:t xml:space="preserve">In which segments is the revenue recognized?</w:t>
      </w:r>
    </w:p>
    <w:p>
      <w:pPr>
        <w:pStyle w:val="Compact"/>
        <w:numPr>
          <w:ilvl w:val="0"/>
          <w:numId w:val="1014"/>
        </w:numPr>
      </w:pPr>
      <w:r>
        <w:t xml:space="preserve">Is the margin close to 100%, or are there meaningful delivery and product-development costs?</w:t>
      </w:r>
    </w:p>
    <w:p>
      <w:pPr>
        <w:pStyle w:val="Compact"/>
        <w:numPr>
          <w:ilvl w:val="0"/>
          <w:numId w:val="1014"/>
        </w:numPr>
      </w:pPr>
      <w:r>
        <w:t xml:space="preserve">Can management provide even a broad range for signed but not yet recognized contract value?</w:t>
      </w:r>
    </w:p>
    <w:p>
      <w:pPr>
        <w:pStyle w:val="FirstParagraph"/>
      </w:pPr>
      <w:r>
        <w:t xml:space="preserve">A vague reiteration of the AI opportunity would be less valuable than modest but concrete financial disclosure.</w:t>
      </w:r>
    </w:p>
    <w:p>
      <w:r>
        <w:pict>
          <v:rect style="width:0;height:1.5pt" o:hralign="center" o:hrstd="t" o:hr="t"/>
        </w:pict>
      </w:r>
    </w:p>
    <w:bookmarkEnd w:id="24"/>
    <w:bookmarkEnd w:id="25"/>
    <w:bookmarkStart w:id="27" w:name="cash-flow-and-capital-returns"/>
    <w:p>
      <w:pPr>
        <w:pStyle w:val="Heading2"/>
      </w:pPr>
      <w:r>
        <w:t xml:space="preserve">Cash flow and capital returns</w:t>
      </w:r>
    </w:p>
    <w:p>
      <w:pPr>
        <w:pStyle w:val="FirstParagraph"/>
      </w:pPr>
      <w:r>
        <w:t xml:space="preserve">At March 31, News Corp held:</w:t>
      </w:r>
    </w:p>
    <w:p>
      <w:pPr>
        <w:pStyle w:val="Compact"/>
        <w:numPr>
          <w:ilvl w:val="0"/>
          <w:numId w:val="1015"/>
        </w:numPr>
      </w:pPr>
      <w:r>
        <w:rPr>
          <w:b/>
          <w:bCs/>
        </w:rPr>
        <w:t xml:space="preserve">$2.171 billion of cash</w:t>
      </w:r>
    </w:p>
    <w:p>
      <w:pPr>
        <w:pStyle w:val="Compact"/>
        <w:numPr>
          <w:ilvl w:val="0"/>
          <w:numId w:val="1015"/>
        </w:numPr>
      </w:pPr>
      <w:r>
        <w:rPr>
          <w:b/>
          <w:bCs/>
        </w:rPr>
        <w:t xml:space="preserve">$1.988 billion of noncurrent borrowings</w:t>
      </w:r>
    </w:p>
    <w:p>
      <w:pPr>
        <w:pStyle w:val="Compact"/>
        <w:numPr>
          <w:ilvl w:val="0"/>
          <w:numId w:val="1015"/>
        </w:numPr>
      </w:pPr>
      <w:r>
        <w:t xml:space="preserve">A roughly net-cash position before other obligations</w:t>
      </w:r>
    </w:p>
    <w:p>
      <w:pPr>
        <w:pStyle w:val="FirstParagraph"/>
      </w:pPr>
      <w:r>
        <w:t xml:space="preserve">Nine-month operating cash flow was $815 million, but higher capital expenditures left free cash flow nearly flat at $535 million. Management nevertheless expected</w:t>
      </w:r>
      <w:r>
        <w:t xml:space="preserve"> </w:t>
      </w:r>
      <w:r>
        <w:rPr>
          <w:b/>
          <w:bCs/>
        </w:rPr>
        <w:t xml:space="preserve">strong full-year free-cash-flow growth</w:t>
      </w:r>
      <w:r>
        <w:t xml:space="preserve">.</w:t>
      </w:r>
    </w:p>
    <w:p>
      <w:pPr>
        <w:pStyle w:val="BodyText"/>
      </w:pPr>
      <w:r>
        <w:t xml:space="preserve">That commitment is worth testing against the fourth-quarter result. A strong EBITDA quarter accompanied by weak cash conversion would be a blemish.</w:t>
      </w:r>
    </w:p>
    <w:bookmarkStart w:id="26" w:name="buyback"/>
    <w:p>
      <w:pPr>
        <w:pStyle w:val="Heading3"/>
      </w:pPr>
      <w:r>
        <w:t xml:space="preserve">Buyback</w:t>
      </w:r>
    </w:p>
    <w:p>
      <w:pPr>
        <w:pStyle w:val="FirstParagraph"/>
      </w:pPr>
      <w:r>
        <w:t xml:space="preserve">News Corp repurchased</w:t>
      </w:r>
      <w:r>
        <w:t xml:space="preserve"> </w:t>
      </w:r>
      <w:r>
        <w:rPr>
          <w:b/>
          <w:bCs/>
        </w:rPr>
        <w:t xml:space="preserve">$456 million of shares during the first nine months</w:t>
      </w:r>
      <w:r>
        <w:t xml:space="preserve">, including</w:t>
      </w:r>
      <w:r>
        <w:t xml:space="preserve"> </w:t>
      </w:r>
      <m:oMath>
        <m:r>
          <m:t>193</m:t>
        </m:r>
        <m:r>
          <m:t>m</m:t>
        </m:r>
        <m:r>
          <m:t>i</m:t>
        </m:r>
        <m:r>
          <m:t>l</m:t>
        </m:r>
        <m:r>
          <m:t>l</m:t>
        </m:r>
        <m:r>
          <m:t>i</m:t>
        </m:r>
        <m:r>
          <m:t>o</m:t>
        </m:r>
        <m:r>
          <m:t>n</m:t>
        </m:r>
        <m:r>
          <m:t>i</m:t>
        </m:r>
        <m:r>
          <m:t>n</m:t>
        </m:r>
        <m:r>
          <m:t>t</m:t>
        </m:r>
        <m:r>
          <m:t>h</m:t>
        </m:r>
        <m:r>
          <m:t>e</m:t>
        </m:r>
        <m:r>
          <m:t>t</m:t>
        </m:r>
        <m:r>
          <m:t>h</m:t>
        </m:r>
        <m:r>
          <m:t>i</m:t>
        </m:r>
        <m:r>
          <m:t>r</m:t>
        </m:r>
        <m:r>
          <m:t>d</m:t>
        </m:r>
        <m:r>
          <m:t>q</m:t>
        </m:r>
        <m:r>
          <m:t>u</m:t>
        </m:r>
        <m:r>
          <m:t>a</m:t>
        </m:r>
        <m:r>
          <m:t>r</m:t>
        </m:r>
        <m:r>
          <m:t>t</m:t>
        </m:r>
        <m:r>
          <m:t>e</m:t>
        </m:r>
        <m:r>
          <m:t>r</m:t>
        </m:r>
        <m:r>
          <m:rPr>
            <m:sty m:val="p"/>
          </m:rPr>
          <m:t>.</m:t>
        </m:r>
        <m:r>
          <m:t>A</m:t>
        </m:r>
        <m:r>
          <m:t>n</m:t>
        </m:r>
        <m:r>
          <m:t>A</m:t>
        </m:r>
        <m:r>
          <m:t>u</m:t>
        </m:r>
        <m:r>
          <m:t>g</m:t>
        </m:r>
        <m:r>
          <m:t>u</m:t>
        </m:r>
        <m:r>
          <m:t>s</m:t>
        </m:r>
        <m:r>
          <m:t>t</m:t>
        </m:r>
        <m:r>
          <m:t>4</m:t>
        </m:r>
        <m:r>
          <m:t>A</m:t>
        </m:r>
        <m:r>
          <m:t>S</m:t>
        </m:r>
        <m:r>
          <m:t>X</m:t>
        </m:r>
        <m:r>
          <m:t>n</m:t>
        </m:r>
        <m:r>
          <m:t>o</m:t>
        </m:r>
        <m:r>
          <m:t>t</m:t>
        </m:r>
        <m:r>
          <m:t>i</m:t>
        </m:r>
        <m:r>
          <m:t>f</m:t>
        </m:r>
        <m:r>
          <m:t>i</m:t>
        </m:r>
        <m:r>
          <m:t>c</m:t>
        </m:r>
        <m:r>
          <m:t>a</m:t>
        </m:r>
        <m:r>
          <m:t>t</m:t>
        </m:r>
        <m:r>
          <m:t>i</m:t>
        </m:r>
        <m:r>
          <m:t>o</m:t>
        </m:r>
        <m:r>
          <m:t>n</m:t>
        </m:r>
        <m:r>
          <m:t>s</m:t>
        </m:r>
        <m:r>
          <m:t>h</m:t>
        </m:r>
        <m:r>
          <m:t>o</m:t>
        </m:r>
        <m:r>
          <m:t>w</m:t>
        </m:r>
        <m:r>
          <m:t>e</m:t>
        </m:r>
        <m:r>
          <m:t>d</m:t>
        </m:r>
        <m:r>
          <m:t>t</m:t>
        </m:r>
        <m:r>
          <m:t>h</m:t>
        </m:r>
        <m:r>
          <m:t>a</m:t>
        </m:r>
        <m:r>
          <m:t>t</m:t>
        </m:r>
        <m:r>
          <m:t>t</m:t>
        </m:r>
        <m:r>
          <m:t>h</m:t>
        </m:r>
        <m:r>
          <m:t>e</m:t>
        </m:r>
        <m:r>
          <m:t>c</m:t>
        </m:r>
        <m:r>
          <m:t>o</m:t>
        </m:r>
        <m:r>
          <m:t>m</m:t>
        </m:r>
        <m:r>
          <m:t>p</m:t>
        </m:r>
        <m:r>
          <m:t>a</m:t>
        </m:r>
        <m:r>
          <m:t>n</m:t>
        </m:r>
        <m:r>
          <m:t>y</m:t>
        </m:r>
        <m:r>
          <m:t>h</m:t>
        </m:r>
        <m:r>
          <m:t>a</m:t>
        </m:r>
        <m:r>
          <m:t>d</m:t>
        </m:r>
        <m:r>
          <m:t>s</m:t>
        </m:r>
        <m:r>
          <m:t>p</m:t>
        </m:r>
        <m:r>
          <m:t>e</m:t>
        </m:r>
        <m:r>
          <m:t>n</m:t>
        </m:r>
        <m:r>
          <m:t>t</m:t>
        </m:r>
        <m:r>
          <m:t>a</m:t>
        </m:r>
        <m:r>
          <m:t>p</m:t>
        </m:r>
        <m:r>
          <m:t>p</m:t>
        </m:r>
        <m:r>
          <m:t>r</m:t>
        </m:r>
        <m:r>
          <m:t>o</m:t>
        </m:r>
        <m:r>
          <m:t>x</m:t>
        </m:r>
        <m:r>
          <m:t>i</m:t>
        </m:r>
        <m:r>
          <m:t>m</m:t>
        </m:r>
        <m:r>
          <m:t>a</m:t>
        </m:r>
        <m:r>
          <m:t>t</m:t>
        </m:r>
        <m:r>
          <m:t>e</m:t>
        </m:r>
        <m:r>
          <m:t>l</m:t>
        </m:r>
        <m:r>
          <m:t>y</m:t>
        </m:r>
        <m:r>
          <m:rPr>
            <m:sty m:val="p"/>
          </m:rPr>
          <m:t>*</m:t>
        </m:r>
        <m:r>
          <m:rPr>
            <m:sty m:val="p"/>
          </m:rPr>
          <m:t>*</m:t>
        </m:r>
      </m:oMath>
      <w:r>
        <w:t xml:space="preserve">402 million under the newer $1 billion authorization alone** through August 3.</w:t>
      </w:r>
    </w:p>
    <w:p>
      <w:pPr>
        <w:pStyle w:val="BodyText"/>
      </w:pPr>
      <w:r>
        <w:t xml:space="preserve">The buyback has already reduced diluted shares from approximately 570 million in fiscal 3Q25 to 556 million in fiscal 3Q26, supporting per-share growth.</w:t>
      </w:r>
    </w:p>
    <w:p>
      <w:pPr>
        <w:pStyle w:val="BodyText"/>
      </w:pPr>
      <w:r>
        <w:t xml:space="preserve">Investors should listen for:</w:t>
      </w:r>
    </w:p>
    <w:p>
      <w:pPr>
        <w:pStyle w:val="Compact"/>
        <w:numPr>
          <w:ilvl w:val="0"/>
          <w:numId w:val="1016"/>
        </w:numPr>
      </w:pPr>
      <w:r>
        <w:t xml:space="preserve">Fiscal 2027 repurchase intentions</w:t>
      </w:r>
    </w:p>
    <w:p>
      <w:pPr>
        <w:pStyle w:val="Compact"/>
        <w:numPr>
          <w:ilvl w:val="0"/>
          <w:numId w:val="1016"/>
        </w:numPr>
      </w:pPr>
      <w:r>
        <w:t xml:space="preserve">Remaining capacity under all authorizations</w:t>
      </w:r>
    </w:p>
    <w:p>
      <w:pPr>
        <w:pStyle w:val="Compact"/>
        <w:numPr>
          <w:ilvl w:val="0"/>
          <w:numId w:val="1016"/>
        </w:numPr>
      </w:pPr>
      <w:r>
        <w:t xml:space="preserve">Whether repurchases remain the preferred use of cash</w:t>
      </w:r>
    </w:p>
    <w:p>
      <w:pPr>
        <w:pStyle w:val="Compact"/>
        <w:numPr>
          <w:ilvl w:val="0"/>
          <w:numId w:val="1016"/>
        </w:numPr>
      </w:pPr>
      <w:r>
        <w:t xml:space="preserve">Any competing appetite for Dow Jones acquisitions</w:t>
      </w:r>
    </w:p>
    <w:p>
      <w:pPr>
        <w:pStyle w:val="Compact"/>
        <w:numPr>
          <w:ilvl w:val="0"/>
          <w:numId w:val="1016"/>
        </w:numPr>
      </w:pPr>
      <w:r>
        <w:t xml:space="preserve">Whether management still describes the stock as materially undervalued</w:t>
      </w:r>
    </w:p>
    <w:p>
      <w:r>
        <w:pict>
          <v:rect style="width:0;height:1.5pt" o:hralign="center" o:hrstd="t" o:hr="t"/>
        </w:pict>
      </w:r>
    </w:p>
    <w:bookmarkEnd w:id="26"/>
    <w:bookmarkEnd w:id="27"/>
    <w:bookmarkStart w:id="28" w:name="stock-setup"/>
    <w:p>
      <w:pPr>
        <w:pStyle w:val="Heading2"/>
      </w:pPr>
      <w:r>
        <w:t xml:space="preserve">Stock setup</w:t>
      </w:r>
    </w:p>
    <w:p>
      <w:pPr>
        <w:pStyle w:val="FirstParagraph"/>
      </w:pPr>
      <w:r>
        <w:t xml:space="preserve">NWS closed at</w:t>
      </w:r>
      <w:r>
        <w:t xml:space="preserve"> </w:t>
      </w:r>
      <w:r>
        <w:rPr>
          <w:b/>
          <w:bCs/>
        </w:rPr>
        <w:t xml:space="preserve">$32.74 on August 4, 2026</w:t>
      </w:r>
      <w:r>
        <w:t xml:space="preserve">.</w:t>
      </w:r>
    </w:p>
    <w:p>
      <w:pPr>
        <w:pStyle w:val="BodyText"/>
      </w:pPr>
      <w:r>
        <w:t xml:space="preserve">That was approximately:</w:t>
      </w:r>
    </w:p>
    <w:p>
      <w:pPr>
        <w:pStyle w:val="Compact"/>
        <w:numPr>
          <w:ilvl w:val="0"/>
          <w:numId w:val="1017"/>
        </w:numPr>
      </w:pPr>
      <w:r>
        <w:rPr>
          <w:b/>
          <w:bCs/>
        </w:rPr>
        <w:t xml:space="preserve">10% above</w:t>
      </w:r>
      <w:r>
        <w:t xml:space="preserve"> </w:t>
      </w:r>
      <w:r>
        <w:t xml:space="preserve">its December 31, 2025 close</w:t>
      </w:r>
    </w:p>
    <w:p>
      <w:pPr>
        <w:pStyle w:val="Compact"/>
        <w:numPr>
          <w:ilvl w:val="0"/>
          <w:numId w:val="1017"/>
        </w:numPr>
      </w:pPr>
      <w:r>
        <w:rPr>
          <w:b/>
          <w:bCs/>
        </w:rPr>
        <w:t xml:space="preserve">28% above</w:t>
      </w:r>
      <w:r>
        <w:t xml:space="preserve"> </w:t>
      </w:r>
      <w:r>
        <w:t xml:space="preserve">its February 2026 low</w:t>
      </w:r>
    </w:p>
    <w:p>
      <w:pPr>
        <w:pStyle w:val="Compact"/>
        <w:numPr>
          <w:ilvl w:val="0"/>
          <w:numId w:val="1017"/>
        </w:numPr>
      </w:pPr>
      <w:r>
        <w:rPr>
          <w:b/>
          <w:bCs/>
        </w:rPr>
        <w:t xml:space="preserve">2% below</w:t>
      </w:r>
      <w:r>
        <w:t xml:space="preserve"> </w:t>
      </w:r>
      <w:r>
        <w:t xml:space="preserve">its August 5, 2025 close</w:t>
      </w:r>
    </w:p>
    <w:p>
      <w:pPr>
        <w:pStyle w:val="FirstParagraph"/>
      </w:pPr>
      <w:r>
        <w:t xml:space="preserve">The stock has recovered meaningfully from its winter selloff but is not entering earnings at a one-year high. That should leave room for upside if News Corp combines a solid beat with stronger fiscal 2027 commentary. Conversely, the recent rebound makes a merely in-line report less likely to drive a major re-rating.</w:t>
      </w:r>
    </w:p>
    <w:p>
      <w:r>
        <w:pict>
          <v:rect style="width:0;height:1.5pt" o:hralign="center" o:hrstd="t" o:hr="t"/>
        </w:pict>
      </w:r>
    </w:p>
    <w:bookmarkEnd w:id="28"/>
    <w:bookmarkStart w:id="31" w:name="bull-and-bear-scenarios"/>
    <w:p>
      <w:pPr>
        <w:pStyle w:val="Heading2"/>
      </w:pPr>
      <w:r>
        <w:t xml:space="preserve">Bull and bear scenarios</w:t>
      </w:r>
    </w:p>
    <w:bookmarkStart w:id="29" w:name="bull-case"/>
    <w:p>
      <w:pPr>
        <w:pStyle w:val="Heading3"/>
      </w:pPr>
      <w:r>
        <w:t xml:space="preserve">Bull case</w:t>
      </w:r>
    </w:p>
    <w:p>
      <w:pPr>
        <w:pStyle w:val="Compact"/>
        <w:numPr>
          <w:ilvl w:val="0"/>
          <w:numId w:val="1018"/>
        </w:numPr>
      </w:pPr>
      <w:r>
        <w:t xml:space="preserve">Dow Jones posts double-digit EBITDA growth and expands margins.</w:t>
      </w:r>
    </w:p>
    <w:p>
      <w:pPr>
        <w:pStyle w:val="Compact"/>
        <w:numPr>
          <w:ilvl w:val="0"/>
          <w:numId w:val="1018"/>
        </w:numPr>
      </w:pPr>
      <w:r>
        <w:t xml:space="preserve">Risk &amp; Compliance and Energy remain at or above low-double-digit growth.</w:t>
      </w:r>
    </w:p>
    <w:p>
      <w:pPr>
        <w:pStyle w:val="Compact"/>
        <w:numPr>
          <w:ilvl w:val="0"/>
          <w:numId w:val="1018"/>
        </w:numPr>
      </w:pPr>
      <w:r>
        <w:t xml:space="preserve">Realtor.com sustains double-digit revenue growth.</w:t>
      </w:r>
    </w:p>
    <w:p>
      <w:pPr>
        <w:pStyle w:val="Compact"/>
        <w:numPr>
          <w:ilvl w:val="0"/>
          <w:numId w:val="1018"/>
        </w:numPr>
      </w:pPr>
      <w:r>
        <w:t xml:space="preserve">REA remains strong on both listings and yield.</w:t>
      </w:r>
    </w:p>
    <w:p>
      <w:pPr>
        <w:pStyle w:val="Compact"/>
        <w:numPr>
          <w:ilvl w:val="0"/>
          <w:numId w:val="1018"/>
        </w:numPr>
      </w:pPr>
      <w:r>
        <w:t xml:space="preserve">HarperCollins benefits from a stronger frontlist.</w:t>
      </w:r>
    </w:p>
    <w:p>
      <w:pPr>
        <w:pStyle w:val="Compact"/>
        <w:numPr>
          <w:ilvl w:val="0"/>
          <w:numId w:val="1018"/>
        </w:numPr>
      </w:pPr>
      <w:r>
        <w:t xml:space="preserve">AI licensing becomes financially visible.</w:t>
      </w:r>
    </w:p>
    <w:p>
      <w:pPr>
        <w:pStyle w:val="Compact"/>
        <w:numPr>
          <w:ilvl w:val="0"/>
          <w:numId w:val="1018"/>
        </w:numPr>
      </w:pPr>
      <w:r>
        <w:t xml:space="preserve">Free cash flow exceeds management’s prior expectations.</w:t>
      </w:r>
    </w:p>
    <w:p>
      <w:pPr>
        <w:pStyle w:val="Compact"/>
        <w:numPr>
          <w:ilvl w:val="0"/>
          <w:numId w:val="1018"/>
        </w:numPr>
      </w:pPr>
      <w:r>
        <w:t xml:space="preserve">Management signals continued earnings growth and aggressive repurchases in fiscal 2027.</w:t>
      </w:r>
    </w:p>
    <w:bookmarkEnd w:id="29"/>
    <w:bookmarkStart w:id="30" w:name="bear-case"/>
    <w:p>
      <w:pPr>
        <w:pStyle w:val="Heading3"/>
      </w:pPr>
      <w:r>
        <w:t xml:space="preserve">Bear case</w:t>
      </w:r>
    </w:p>
    <w:p>
      <w:pPr>
        <w:pStyle w:val="Compact"/>
        <w:numPr>
          <w:ilvl w:val="0"/>
          <w:numId w:val="1019"/>
        </w:numPr>
      </w:pPr>
      <w:r>
        <w:t xml:space="preserve">Reported growth is again disproportionately driven by currency.</w:t>
      </w:r>
    </w:p>
    <w:p>
      <w:pPr>
        <w:pStyle w:val="Compact"/>
        <w:numPr>
          <w:ilvl w:val="0"/>
          <w:numId w:val="1019"/>
        </w:numPr>
      </w:pPr>
      <w:r>
        <w:t xml:space="preserve">Dow Jones consumer revenue slows despite price increases.</w:t>
      </w:r>
    </w:p>
    <w:p>
      <w:pPr>
        <w:pStyle w:val="Compact"/>
        <w:numPr>
          <w:ilvl w:val="0"/>
          <w:numId w:val="1019"/>
        </w:numPr>
      </w:pPr>
      <w:r>
        <w:t xml:space="preserve">Realtor.com growth weakens as the U.S. housing market remains depressed.</w:t>
      </w:r>
    </w:p>
    <w:p>
      <w:pPr>
        <w:pStyle w:val="Compact"/>
        <w:numPr>
          <w:ilvl w:val="0"/>
          <w:numId w:val="1019"/>
        </w:numPr>
      </w:pPr>
      <w:r>
        <w:t xml:space="preserve">News Media losses deepen because of California Post and print pressure.</w:t>
      </w:r>
    </w:p>
    <w:p>
      <w:pPr>
        <w:pStyle w:val="Compact"/>
        <w:numPr>
          <w:ilvl w:val="0"/>
          <w:numId w:val="1019"/>
        </w:numPr>
      </w:pPr>
      <w:r>
        <w:t xml:space="preserve">Book Publishing’s third-quarter strength proves title-specific.</w:t>
      </w:r>
    </w:p>
    <w:p>
      <w:pPr>
        <w:pStyle w:val="Compact"/>
        <w:numPr>
          <w:ilvl w:val="0"/>
          <w:numId w:val="1019"/>
        </w:numPr>
      </w:pPr>
      <w:r>
        <w:t xml:space="preserve">Free-cash-flow conversion disappoints.</w:t>
      </w:r>
    </w:p>
    <w:p>
      <w:pPr>
        <w:pStyle w:val="Compact"/>
        <w:numPr>
          <w:ilvl w:val="0"/>
          <w:numId w:val="1019"/>
        </w:numPr>
      </w:pPr>
      <w:r>
        <w:t xml:space="preserve">Management provides cautious fiscal 2027 commentary or refuses to quantify AI licensing.</w:t>
      </w:r>
    </w:p>
    <w:p>
      <w:r>
        <w:pict>
          <v:rect style="width:0;height:1.5pt" o:hralign="center" o:hrstd="t" o:hr="t"/>
        </w:pict>
      </w:r>
    </w:p>
    <w:bookmarkEnd w:id="30"/>
    <w:bookmarkEnd w:id="31"/>
    <w:bookmarkStart w:id="32" w:name="bottom-line"/>
    <w:p>
      <w:pPr>
        <w:pStyle w:val="Heading2"/>
      </w:pPr>
      <w:r>
        <w:t xml:space="preserve">Bottom line</w:t>
      </w:r>
    </w:p>
    <w:p>
      <w:pPr>
        <w:pStyle w:val="FirstParagraph"/>
      </w:pPr>
      <w:r>
        <w:t xml:space="preserve">The bar should be higher than simply producing a record fiscal year. News Corp is likely to clear that threshold comfortably.</w:t>
      </w:r>
    </w:p>
    <w:p>
      <w:pPr>
        <w:pStyle w:val="BodyText"/>
      </w:pPr>
      <w:r>
        <w:t xml:space="preserve">A genuinely strong report would demonstrate:</w:t>
      </w:r>
    </w:p>
    <w:p>
      <w:pPr>
        <w:pStyle w:val="Compact"/>
        <w:numPr>
          <w:ilvl w:val="0"/>
          <w:numId w:val="1020"/>
        </w:numPr>
      </w:pPr>
      <w:r>
        <w:rPr>
          <w:b/>
          <w:bCs/>
        </w:rPr>
        <w:t xml:space="preserve">Adjusted revenue growth of at least the mid-single digits</w:t>
      </w:r>
    </w:p>
    <w:p>
      <w:pPr>
        <w:pStyle w:val="Compact"/>
        <w:numPr>
          <w:ilvl w:val="0"/>
          <w:numId w:val="1020"/>
        </w:numPr>
      </w:pPr>
      <w:r>
        <w:rPr>
          <w:b/>
          <w:bCs/>
        </w:rPr>
        <w:t xml:space="preserve">Faster EBITDA than revenue growth</w:t>
      </w:r>
    </w:p>
    <w:p>
      <w:pPr>
        <w:pStyle w:val="Compact"/>
        <w:numPr>
          <w:ilvl w:val="0"/>
          <w:numId w:val="1020"/>
        </w:numPr>
      </w:pPr>
      <w:r>
        <w:rPr>
          <w:b/>
          <w:bCs/>
        </w:rPr>
        <w:t xml:space="preserve">Dow Jones margin expansion</w:t>
      </w:r>
    </w:p>
    <w:p>
      <w:pPr>
        <w:pStyle w:val="Compact"/>
        <w:numPr>
          <w:ilvl w:val="0"/>
          <w:numId w:val="1020"/>
        </w:numPr>
      </w:pPr>
      <w:r>
        <w:rPr>
          <w:b/>
          <w:bCs/>
        </w:rPr>
        <w:t xml:space="preserve">Continued Realtor.com recovery</w:t>
      </w:r>
    </w:p>
    <w:p>
      <w:pPr>
        <w:pStyle w:val="Compact"/>
        <w:numPr>
          <w:ilvl w:val="0"/>
          <w:numId w:val="1020"/>
        </w:numPr>
      </w:pPr>
      <w:r>
        <w:rPr>
          <w:b/>
          <w:bCs/>
        </w:rPr>
        <w:t xml:space="preserve">Improved free-cash-flow conversion</w:t>
      </w:r>
    </w:p>
    <w:p>
      <w:pPr>
        <w:pStyle w:val="Compact"/>
        <w:numPr>
          <w:ilvl w:val="0"/>
          <w:numId w:val="1020"/>
        </w:numPr>
      </w:pPr>
      <w:r>
        <w:rPr>
          <w:b/>
          <w:bCs/>
        </w:rPr>
        <w:t xml:space="preserve">More concrete AI-licensing economics</w:t>
      </w:r>
    </w:p>
    <w:p>
      <w:pPr>
        <w:pStyle w:val="Compact"/>
        <w:numPr>
          <w:ilvl w:val="0"/>
          <w:numId w:val="1020"/>
        </w:numPr>
      </w:pPr>
      <w:r>
        <w:rPr>
          <w:b/>
          <w:bCs/>
        </w:rPr>
        <w:t xml:space="preserve">A credible path to further profit growth in fiscal 2027</w:t>
      </w:r>
    </w:p>
    <w:p>
      <w:pPr>
        <w:pStyle w:val="FirstParagraph"/>
      </w:pPr>
      <w:r>
        <w:t xml:space="preserve">The most important metric is likely</w:t>
      </w:r>
      <w:r>
        <w:t xml:space="preserve"> </w:t>
      </w:r>
      <w:r>
        <w:rPr>
          <w:b/>
          <w:bCs/>
        </w:rPr>
        <w:t xml:space="preserve">Total Segment EBITDA</w:t>
      </w:r>
      <w:r>
        <w:t xml:space="preserve">, but the most important narrative will be the quality and durability of growth at Dow Jones and Digital Real Estate. If those businesses remain strong and management turns AI licensing into a measurable earnings stream, the case that News Corp deserves to be valued as an information-services and digital-property portfolio—not primarily as a newspaper company—will strengthen materially.</w:t>
      </w:r>
    </w:p>
    <w:p>
      <w:pPr>
        <w:pStyle w:val="BodyText"/>
      </w:pPr>
      <w:r>
        <w:rPr>
          <w:i/>
          <w:iCs/>
        </w:rPr>
        <w:t xml:space="preserve">Research basis: News Corp fiscal 3Q26 earnings release and call dated May 7, 2026; fiscal 3Q26 Form 10-Q; Dow Jones Investor Briefing dated March 16, 2026; fiscal 4Q25 earnings release; August 2026 buyback filings; and NWS market-price data through August 4, 2026.</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2026-08-05T01:06:30Z</dcterms:created>
  <dcterms:modified xsi:type="dcterms:W3CDTF">2026-08-05T01:06:30Z</dcterms:modified>
</cp:coreProperties>
</file>

<file path=docProps/custom.xml><?xml version="1.0" encoding="utf-8"?>
<Properties xmlns="http://schemas.openxmlformats.org/officeDocument/2006/custom-properties" xmlns:vt="http://schemas.openxmlformats.org/officeDocument/2006/docPropsVTypes"/>
</file>