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e83238058fdb13e8fc4d8462779f9a4a3c5c241"/>
    <w:p>
      <w:pPr>
        <w:pStyle w:val="Heading1"/>
      </w:pPr>
      <w:r>
        <w:t xml:space="preserve">News Corp (NASDAQ: NWS) — Fiscal 2026 Q4 Earnings Preview</w:t>
      </w:r>
    </w:p>
    <w:p>
      <w:pPr>
        <w:pStyle w:val="BlockText"/>
      </w:pPr>
      <w:r>
        <w:rPr>
          <w:b/>
          <w:bCs/>
        </w:rPr>
        <w:t xml:space="preserve">Scheduling note:</w:t>
      </w:r>
      <w:r>
        <w:t xml:space="preserve"> </w:t>
      </w:r>
      <w:r>
        <w:t xml:space="preserve">The supplied event date is</w:t>
      </w:r>
      <w:r>
        <w:t xml:space="preserve"> </w:t>
      </w:r>
      <w:r>
        <w:rPr>
          <w:b/>
          <w:bCs/>
        </w:rPr>
        <w:t xml:space="preserve">August 5, 2026</w:t>
      </w:r>
      <w:r>
        <w:t xml:space="preserve">, which is</w:t>
      </w:r>
      <w:r>
        <w:t xml:space="preserve"> </w:t>
      </w:r>
      <w:r>
        <w:rPr>
          <w:b/>
          <w:bCs/>
        </w:rPr>
        <w:t xml:space="preserve">today</w:t>
      </w:r>
      <w:r>
        <w:t xml:space="preserve">, not tomorrow. This preview treats the fiscal 2026 fourth-quarter earnings call as pending.</w:t>
      </w:r>
    </w:p>
    <w:bookmarkStart w:id="9" w:name="Xf0f5e49f44fac9cfd68492157c8c4db80166951"/>
    <w:p>
      <w:pPr>
        <w:pStyle w:val="Heading2"/>
      </w:pPr>
      <w:r>
        <w:t xml:space="preserve">Investment view: execution in the growth engines matters more than the headline EPS</w:t>
      </w:r>
    </w:p>
    <w:p>
      <w:pPr>
        <w:pStyle w:val="FirstParagraph"/>
      </w:pPr>
      <w:r>
        <w:t xml:space="preserve">News Corp enters fiscal Q4 with strong operating momentum across its three strategic growth pillars—</w:t>
      </w:r>
      <w:r>
        <w:rPr>
          <w:b/>
          <w:bCs/>
        </w:rPr>
        <w:t xml:space="preserve">Dow Jones, Digital Real Estate Services, and Book Publishing</w:t>
      </w:r>
      <w:r>
        <w:t xml:space="preserve">—and with management having said in May that it expected “strong results” in the fourth quarter and another year of record profitability.</w:t>
      </w:r>
    </w:p>
    <w:p>
      <w:pPr>
        <w:pStyle w:val="BodyText"/>
      </w:pPr>
      <w:r>
        <w:t xml:space="preserve">The central question for investors is not simply whether NWS clears a quarterly EPS hurdle. It is whether the company can show that:</w:t>
      </w:r>
    </w:p>
    <w:p>
      <w:pPr>
        <w:pStyle w:val="Compact"/>
        <w:numPr>
          <w:ilvl w:val="0"/>
          <w:numId w:val="1001"/>
        </w:numPr>
      </w:pPr>
      <w:r>
        <w:rPr>
          <w:b/>
          <w:bCs/>
        </w:rPr>
        <w:t xml:space="preserve">Dow Jones’ higher-value professional-information and pricing initiatives are durable;</w:t>
      </w:r>
    </w:p>
    <w:p>
      <w:pPr>
        <w:pStyle w:val="Compact"/>
        <w:numPr>
          <w:ilvl w:val="0"/>
          <w:numId w:val="1001"/>
        </w:numPr>
      </w:pPr>
      <w:r>
        <w:rPr>
          <w:b/>
          <w:bCs/>
        </w:rPr>
        <w:t xml:space="preserve">Realtor.com and REA can sustain growth despite uneven housing markets;</w:t>
      </w:r>
    </w:p>
    <w:p>
      <w:pPr>
        <w:pStyle w:val="Compact"/>
        <w:numPr>
          <w:ilvl w:val="0"/>
          <w:numId w:val="1001"/>
        </w:numPr>
      </w:pPr>
      <w:r>
        <w:rPr>
          <w:b/>
          <w:bCs/>
        </w:rPr>
        <w:t xml:space="preserve">HarperCollins converts a stronger frontlist into a meaningful Q4 rebound;</w:t>
      </w:r>
      <w:r>
        <w:t xml:space="preserve"> </w:t>
      </w:r>
      <w:r>
        <w:t xml:space="preserve">and</w:t>
      </w:r>
    </w:p>
    <w:p>
      <w:pPr>
        <w:pStyle w:val="Compact"/>
        <w:numPr>
          <w:ilvl w:val="0"/>
          <w:numId w:val="1001"/>
        </w:numPr>
      </w:pPr>
      <w:r>
        <w:rPr>
          <w:b/>
          <w:bCs/>
        </w:rPr>
        <w:t xml:space="preserve">AI licensing, accelerating buybacks, and free-cash-flow growth add to the medium-term equity story.</w:t>
      </w:r>
    </w:p>
    <w:p>
      <w:pPr>
        <w:pStyle w:val="FirstParagraph"/>
      </w:pPr>
      <w:r>
        <w:t xml:space="preserve">The setup appears constructive, helped by a relatively modest prior-year Q4 comparison. Fiscal Q4 2025 produced $2.11 billion of revenue, $322 million of Total Segment EBITDA, and adjusted EPS of $0.19. Importantly, Book Publishing was weak in that prior-year quarter and News Media continued to decline, leaving room for the stronger businesses to drive consolidated growth.</w:t>
      </w:r>
    </w:p>
    <w:bookmarkEnd w:id="9"/>
    <w:bookmarkStart w:id="10" w:name="X60afa2cf039a08c2c6edef53cfe07f5383182ba"/>
    <w:p>
      <w:pPr>
        <w:pStyle w:val="Heading2"/>
      </w:pPr>
      <w:r>
        <w:t xml:space="preserve">Where News Corp stands going into the print</w:t>
      </w:r>
    </w:p>
    <w:p>
      <w:pPr>
        <w:pStyle w:val="FirstParagraph"/>
      </w:pPr>
      <w:r>
        <w:t xml:space="preserve">Through the first nine months of fiscal 2026, News Corp reported: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FY26 first 9 months</w:t>
            </w:r>
          </w:p>
        </w:tc>
        <w:tc>
          <w:tcPr/>
          <w:p>
            <w:pPr>
              <w:pStyle w:val="Compact"/>
              <w:jc w:val="right"/>
            </w:pPr>
            <w:r>
              <w:t xml:space="preserve">YoY change</w:t>
            </w:r>
          </w:p>
        </w:tc>
      </w:tr>
      <w:tr>
        <w:tc>
          <w:tcPr/>
          <w:p>
            <w:pPr>
              <w:pStyle w:val="Compact"/>
            </w:pPr>
            <w:r>
              <w:t xml:space="preserve">Revenue</w:t>
            </w:r>
          </w:p>
        </w:tc>
        <w:tc>
          <w:tcPr/>
          <w:p>
            <w:pPr>
              <w:pStyle w:val="Compact"/>
              <w:jc w:val="right"/>
            </w:pPr>
            <w:r>
              <w:rPr>
                <w:b/>
                <w:bCs/>
              </w:rPr>
              <w:t xml:space="preserve">$6.69B</w:t>
            </w:r>
          </w:p>
        </w:tc>
        <w:tc>
          <w:tcPr/>
          <w:p>
            <w:pPr>
              <w:pStyle w:val="Compact"/>
              <w:jc w:val="right"/>
            </w:pPr>
            <w:r>
              <w:rPr>
                <w:b/>
                <w:bCs/>
              </w:rPr>
              <w:t xml:space="preserve">+5%</w:t>
            </w:r>
          </w:p>
        </w:tc>
      </w:tr>
      <w:tr>
        <w:tc>
          <w:tcPr/>
          <w:p>
            <w:pPr>
              <w:pStyle w:val="Compact"/>
            </w:pPr>
            <w:r>
              <w:t xml:space="preserve">Adjusted revenue</w:t>
            </w:r>
          </w:p>
        </w:tc>
        <w:tc>
          <w:tcPr/>
          <w:p>
            <w:pPr>
              <w:pStyle w:val="Compact"/>
              <w:jc w:val="right"/>
            </w:pPr>
            <w:r>
              <w:rPr>
                <w:b/>
                <w:bCs/>
              </w:rPr>
              <w:t xml:space="preserve">$6.52B</w:t>
            </w:r>
          </w:p>
        </w:tc>
        <w:tc>
          <w:tcPr/>
          <w:p>
            <w:pPr>
              <w:pStyle w:val="Compact"/>
              <w:jc w:val="right"/>
            </w:pPr>
            <w:r>
              <w:rPr>
                <w:b/>
                <w:bCs/>
              </w:rPr>
              <w:t xml:space="preserve">+3%</w:t>
            </w:r>
          </w:p>
        </w:tc>
      </w:tr>
      <w:tr>
        <w:tc>
          <w:tcPr/>
          <w:p>
            <w:pPr>
              <w:pStyle w:val="Compact"/>
            </w:pPr>
            <w:r>
              <w:t xml:space="preserve">Total Segment EBITDA</w:t>
            </w:r>
          </w:p>
        </w:tc>
        <w:tc>
          <w:tcPr/>
          <w:p>
            <w:pPr>
              <w:pStyle w:val="Compact"/>
              <w:jc w:val="right"/>
            </w:pPr>
            <w:r>
              <w:rPr>
                <w:b/>
                <w:bCs/>
              </w:rPr>
              <w:t xml:space="preserve">$1.20B</w:t>
            </w:r>
          </w:p>
        </w:tc>
        <w:tc>
          <w:tcPr/>
          <w:p>
            <w:pPr>
              <w:pStyle w:val="Compact"/>
              <w:jc w:val="right"/>
            </w:pPr>
            <w:r>
              <w:rPr>
                <w:b/>
                <w:bCs/>
              </w:rPr>
              <w:t xml:space="preserve">+10%</w:t>
            </w:r>
          </w:p>
        </w:tc>
      </w:tr>
      <w:tr>
        <w:tc>
          <w:tcPr/>
          <w:p>
            <w:pPr>
              <w:pStyle w:val="Compact"/>
            </w:pPr>
            <w:r>
              <w:t xml:space="preserve">Adjusted Total Segment EBITDA</w:t>
            </w:r>
          </w:p>
        </w:tc>
        <w:tc>
          <w:tcPr/>
          <w:p>
            <w:pPr>
              <w:pStyle w:val="Compact"/>
              <w:jc w:val="right"/>
            </w:pPr>
            <w:r>
              <w:rPr>
                <w:b/>
                <w:bCs/>
              </w:rPr>
              <w:t xml:space="preserve">$1.20B</w:t>
            </w:r>
          </w:p>
        </w:tc>
        <w:tc>
          <w:tcPr/>
          <w:p>
            <w:pPr>
              <w:pStyle w:val="Compact"/>
              <w:jc w:val="right"/>
            </w:pPr>
            <w:r>
              <w:rPr>
                <w:b/>
                <w:bCs/>
              </w:rPr>
              <w:t xml:space="preserve">+8%</w:t>
            </w:r>
          </w:p>
        </w:tc>
      </w:tr>
      <w:tr>
        <w:tc>
          <w:tcPr/>
          <w:p>
            <w:pPr>
              <w:pStyle w:val="Compact"/>
            </w:pPr>
            <w:r>
              <w:t xml:space="preserve">Adjusted EPS</w:t>
            </w:r>
          </w:p>
        </w:tc>
        <w:tc>
          <w:tcPr/>
          <w:p>
            <w:pPr>
              <w:pStyle w:val="Compact"/>
              <w:jc w:val="right"/>
            </w:pPr>
            <w:r>
              <w:rPr>
                <w:b/>
                <w:bCs/>
              </w:rPr>
              <w:t xml:space="preserve">$0.83</w:t>
            </w:r>
          </w:p>
        </w:tc>
        <w:tc>
          <w:tcPr/>
          <w:p>
            <w:pPr>
              <w:pStyle w:val="Compact"/>
              <w:jc w:val="right"/>
            </w:pPr>
            <w:r>
              <w:rPr>
                <w:b/>
                <w:bCs/>
              </w:rPr>
              <w:t xml:space="preserve">+17%</w:t>
            </w:r>
          </w:p>
        </w:tc>
      </w:tr>
      <w:tr>
        <w:tc>
          <w:tcPr/>
          <w:p>
            <w:pPr>
              <w:pStyle w:val="Compact"/>
            </w:pPr>
            <w:r>
              <w:t xml:space="preserve">Free cash flow</w:t>
            </w:r>
          </w:p>
        </w:tc>
        <w:tc>
          <w:tcPr/>
          <w:p>
            <w:pPr>
              <w:pStyle w:val="Compact"/>
              <w:jc w:val="right"/>
            </w:pPr>
            <w:r>
              <w:rPr>
                <w:b/>
                <w:bCs/>
              </w:rPr>
              <w:t xml:space="preserve">$535M</w:t>
            </w:r>
          </w:p>
        </w:tc>
        <w:tc>
          <w:tcPr/>
          <w:p>
            <w:pPr>
              <w:pStyle w:val="Compact"/>
              <w:jc w:val="right"/>
            </w:pPr>
            <w:r>
              <w:t xml:space="preserve">roughly flat</w:t>
            </w:r>
          </w:p>
        </w:tc>
      </w:tr>
    </w:tbl>
    <w:p>
      <w:pPr>
        <w:pStyle w:val="BodyText"/>
      </w:pPr>
      <w:r>
        <w:t xml:space="preserve">The underlying picture is better than headline cash flow may initially imply. Management attributed the year-to-date free-cash-flow comparison largely to timing and elevated capital expenditures, while maintaining its expectation for</w:t>
      </w:r>
      <w:r>
        <w:t xml:space="preserve"> </w:t>
      </w:r>
      <w:r>
        <w:rPr>
          <w:b/>
          <w:bCs/>
        </w:rPr>
        <w:t xml:space="preserve">strong full-year free-cash-flow growth</w:t>
      </w:r>
      <w:r>
        <w:t xml:space="preserve">.</w:t>
      </w:r>
    </w:p>
    <w:p>
      <w:pPr>
        <w:pStyle w:val="BodyText"/>
      </w:pPr>
      <w:r>
        <w:t xml:space="preserve">At the Q3 call, management also highlighted a</w:t>
      </w:r>
      <w:r>
        <w:t xml:space="preserve"> </w:t>
      </w:r>
      <w:r>
        <w:rPr>
          <w:b/>
          <w:bCs/>
        </w:rPr>
        <w:t xml:space="preserve">12th consecutive quarter of year-over-year Total Segment EBITDA growth</w:t>
      </w:r>
      <w:r>
        <w:t xml:space="preserve"> </w:t>
      </w:r>
      <w:r>
        <w:t xml:space="preserve">on a continuing-operations basis. That consistency is central to the re-rating argument: News Corp increasingly resembles a portfolio of recurring-revenue information, data, and digital-property businesses rather than a traditional newspaper company.</w:t>
      </w:r>
    </w:p>
    <w:bookmarkEnd w:id="10"/>
    <w:bookmarkStart w:id="11" w:name="the-key-reporting-benchmark-q4-2025"/>
    <w:p>
      <w:pPr>
        <w:pStyle w:val="Heading2"/>
      </w:pPr>
      <w:r>
        <w:t xml:space="preserve">The key reporting benchmark: Q4 2025</w:t>
      </w:r>
    </w:p>
    <w:p>
      <w:pPr>
        <w:pStyle w:val="FirstParagraph"/>
      </w:pPr>
      <w:r>
        <w:t xml:space="preserve">Fiscal Q4 is not the company’s seasonally largest EBITDA quarter, but the comparison is favorable in several areas.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Q4 FY25 actual</w:t>
            </w:r>
          </w:p>
        </w:tc>
        <w:tc>
          <w:tcPr/>
          <w:p>
            <w:pPr>
              <w:pStyle w:val="Compact"/>
              <w:jc w:val="right"/>
            </w:pPr>
            <w:r>
              <w:t xml:space="preserve">Revenue</w:t>
            </w:r>
          </w:p>
        </w:tc>
        <w:tc>
          <w:tcPr/>
          <w:p>
            <w:pPr>
              <w:pStyle w:val="Compact"/>
              <w:jc w:val="right"/>
            </w:pPr>
            <w:r>
              <w:t xml:space="preserve">Segment EBITDA</w:t>
            </w:r>
          </w:p>
        </w:tc>
      </w:tr>
      <w:tr>
        <w:tc>
          <w:tcPr/>
          <w:p>
            <w:pPr>
              <w:pStyle w:val="Compact"/>
            </w:pPr>
            <w:r>
              <w:t xml:space="preserve">Dow Jones</w:t>
            </w:r>
          </w:p>
        </w:tc>
        <w:tc>
          <w:tcPr/>
          <w:p>
            <w:pPr>
              <w:pStyle w:val="Compact"/>
              <w:jc w:val="right"/>
            </w:pPr>
            <w:r>
              <w:t xml:space="preserve">$604M</w:t>
            </w:r>
          </w:p>
        </w:tc>
        <w:tc>
          <w:tcPr/>
          <w:p>
            <w:pPr>
              <w:pStyle w:val="Compact"/>
              <w:jc w:val="right"/>
            </w:pPr>
            <w:r>
              <w:t xml:space="preserve">$151M</w:t>
            </w:r>
          </w:p>
        </w:tc>
      </w:tr>
      <w:tr>
        <w:tc>
          <w:tcPr/>
          <w:p>
            <w:pPr>
              <w:pStyle w:val="Compact"/>
            </w:pPr>
            <w:r>
              <w:t xml:space="preserve">Digital Real Estate Services</w:t>
            </w:r>
          </w:p>
        </w:tc>
        <w:tc>
          <w:tcPr/>
          <w:p>
            <w:pPr>
              <w:pStyle w:val="Compact"/>
              <w:jc w:val="right"/>
            </w:pPr>
            <w:r>
              <w:t xml:space="preserve">$466M</w:t>
            </w:r>
          </w:p>
        </w:tc>
        <w:tc>
          <w:tcPr/>
          <w:p>
            <w:pPr>
              <w:pStyle w:val="Compact"/>
              <w:jc w:val="right"/>
            </w:pPr>
            <w:r>
              <w:t xml:space="preserve">$152M</w:t>
            </w:r>
          </w:p>
        </w:tc>
      </w:tr>
      <w:tr>
        <w:tc>
          <w:tcPr/>
          <w:p>
            <w:pPr>
              <w:pStyle w:val="Compact"/>
            </w:pPr>
            <w:r>
              <w:t xml:space="preserve">Book Publishing</w:t>
            </w:r>
          </w:p>
        </w:tc>
        <w:tc>
          <w:tcPr/>
          <w:p>
            <w:pPr>
              <w:pStyle w:val="Compact"/>
              <w:jc w:val="right"/>
            </w:pPr>
            <w:r>
              <w:t xml:space="preserve">$494M</w:t>
            </w:r>
          </w:p>
        </w:tc>
        <w:tc>
          <w:tcPr/>
          <w:p>
            <w:pPr>
              <w:pStyle w:val="Compact"/>
              <w:jc w:val="right"/>
            </w:pPr>
            <w:r>
              <w:t xml:space="preserve">$50M</w:t>
            </w:r>
          </w:p>
        </w:tc>
      </w:tr>
      <w:tr>
        <w:tc>
          <w:tcPr/>
          <w:p>
            <w:pPr>
              <w:pStyle w:val="Compact"/>
            </w:pPr>
            <w:r>
              <w:t xml:space="preserve">News Media</w:t>
            </w:r>
          </w:p>
        </w:tc>
        <w:tc>
          <w:tcPr/>
          <w:p>
            <w:pPr>
              <w:pStyle w:val="Compact"/>
              <w:jc w:val="right"/>
            </w:pPr>
            <w:r>
              <w:t xml:space="preserve">$545M</w:t>
            </w:r>
          </w:p>
        </w:tc>
        <w:tc>
          <w:tcPr/>
          <w:p>
            <w:pPr>
              <w:pStyle w:val="Compact"/>
              <w:jc w:val="right"/>
            </w:pPr>
            <w:r>
              <w:t xml:space="preserve">$28M</w:t>
            </w:r>
          </w:p>
        </w:tc>
      </w:tr>
      <w:tr>
        <w:tc>
          <w:tcPr/>
          <w:p>
            <w:pPr>
              <w:pStyle w:val="Compact"/>
            </w:pPr>
            <w:r>
              <w:t xml:space="preserve">Other / corporate</w:t>
            </w:r>
          </w:p>
        </w:tc>
        <w:tc>
          <w:tcPr/>
          <w:p>
            <w:pPr>
              <w:pStyle w:val="Compact"/>
              <w:jc w:val="right"/>
            </w:pPr>
            <w:r>
              <w:t xml:space="preserve">—</w:t>
            </w:r>
          </w:p>
        </w:tc>
        <w:tc>
          <w:tcPr/>
          <w:p>
            <w:pPr>
              <w:pStyle w:val="Compact"/>
              <w:jc w:val="right"/>
            </w:pPr>
            <w:r>
              <w:t xml:space="preserve">$(59)M</w:t>
            </w:r>
          </w:p>
        </w:tc>
      </w:tr>
      <w:tr>
        <w:tc>
          <w:tcPr/>
          <w:p>
            <w:pPr>
              <w:pStyle w:val="Compact"/>
            </w:pPr>
            <w:r>
              <w:rPr>
                <w:b/>
                <w:bCs/>
              </w:rPr>
              <w:t xml:space="preserve">Total</w:t>
            </w:r>
          </w:p>
        </w:tc>
        <w:tc>
          <w:tcPr/>
          <w:p>
            <w:pPr>
              <w:pStyle w:val="Compact"/>
              <w:jc w:val="right"/>
            </w:pPr>
            <w:r>
              <w:rPr>
                <w:b/>
                <w:bCs/>
              </w:rPr>
              <w:t xml:space="preserve">$2.11B</w:t>
            </w:r>
          </w:p>
        </w:tc>
        <w:tc>
          <w:tcPr/>
          <w:p>
            <w:pPr>
              <w:pStyle w:val="Compact"/>
              <w:jc w:val="right"/>
            </w:pPr>
            <w:r>
              <w:rPr>
                <w:b/>
                <w:bCs/>
              </w:rPr>
              <w:t xml:space="preserve">$322M</w:t>
            </w:r>
          </w:p>
        </w:tc>
      </w:tr>
    </w:tbl>
    <w:p>
      <w:pPr>
        <w:pStyle w:val="BodyText"/>
      </w:pPr>
      <w:r>
        <w:t xml:space="preserve">The main opportunity is for Dow Jones and Digital Real Estate to continue compounding, while Book Publishing benefits from an easier comparison. The principal offset remains News Media, where California Post investment and structural print pressure limit the segment’s earnings contribution.</w:t>
      </w:r>
    </w:p>
    <w:p>
      <w:r>
        <w:pict>
          <v:rect style="width:0;height:1.5pt" o:hralign="center" o:hrstd="t" o:hr="t"/>
        </w:pict>
      </w:r>
    </w:p>
    <w:bookmarkEnd w:id="11"/>
    <w:bookmarkStart w:id="21" w:name="what-matters-most-by-segment"/>
    <w:p>
      <w:pPr>
        <w:pStyle w:val="Heading2"/>
      </w:pPr>
      <w:r>
        <w:t xml:space="preserve">What matters most by segment</w:t>
      </w:r>
    </w:p>
    <w:bookmarkStart w:id="12" w:name="X5144e5adfb8d7d903a6fbe5a9ac07eff0efa294"/>
    <w:p>
      <w:pPr>
        <w:pStyle w:val="Heading3"/>
      </w:pPr>
      <w:r>
        <w:t xml:space="preserve">1. Dow Jones: the most important quality-and-valuation driver</w:t>
      </w:r>
    </w:p>
    <w:p>
      <w:pPr>
        <w:pStyle w:val="FirstParagraph"/>
      </w:pPr>
      <w:r>
        <w:t xml:space="preserve">Dow Jones remains the company’s clearest structural growth asset. In Q3, segment revenue rose</w:t>
      </w:r>
      <w:r>
        <w:t xml:space="preserve"> </w:t>
      </w:r>
      <w:r>
        <w:rPr>
          <w:b/>
          <w:bCs/>
        </w:rPr>
        <w:t xml:space="preserve">8%</w:t>
      </w:r>
      <w:r>
        <w:t xml:space="preserve"> </w:t>
      </w:r>
      <w:r>
        <w:t xml:space="preserve">and Segment EBITDA rose</w:t>
      </w:r>
      <w:r>
        <w:t xml:space="preserve"> </w:t>
      </w:r>
      <w:r>
        <w:rPr>
          <w:b/>
          <w:bCs/>
        </w:rPr>
        <w:t xml:space="preserve">11%</w:t>
      </w:r>
      <w:r>
        <w:t xml:space="preserve"> </w:t>
      </w:r>
      <w:r>
        <w:t xml:space="preserve">to $147 million, with margin expansion. The key contributors were:</w:t>
      </w:r>
    </w:p>
    <w:p>
      <w:pPr>
        <w:pStyle w:val="Compact"/>
        <w:numPr>
          <w:ilvl w:val="0"/>
          <w:numId w:val="1002"/>
        </w:numPr>
      </w:pPr>
      <w:r>
        <w:rPr>
          <w:b/>
          <w:bCs/>
        </w:rPr>
        <w:t xml:space="preserve">Risk &amp; Compliance revenue: +19%</w:t>
      </w:r>
      <w:r>
        <w:t xml:space="preserve">, to $100 million;</w:t>
      </w:r>
    </w:p>
    <w:p>
      <w:pPr>
        <w:pStyle w:val="Compact"/>
        <w:numPr>
          <w:ilvl w:val="0"/>
          <w:numId w:val="1002"/>
        </w:numPr>
      </w:pPr>
      <w:r>
        <w:rPr>
          <w:b/>
          <w:bCs/>
        </w:rPr>
        <w:t xml:space="preserve">Dow Jones Energy revenue: +12%</w:t>
      </w:r>
      <w:r>
        <w:t xml:space="preserve">, to $77 million;</w:t>
      </w:r>
    </w:p>
    <w:p>
      <w:pPr>
        <w:pStyle w:val="Compact"/>
        <w:numPr>
          <w:ilvl w:val="0"/>
          <w:numId w:val="1002"/>
        </w:numPr>
      </w:pPr>
      <w:r>
        <w:rPr>
          <w:b/>
          <w:bCs/>
        </w:rPr>
        <w:t xml:space="preserve">Digital advertising revenue: +13%</w:t>
      </w:r>
      <w:r>
        <w:t xml:space="preserve">;</w:t>
      </w:r>
    </w:p>
    <w:p>
      <w:pPr>
        <w:pStyle w:val="Compact"/>
        <w:numPr>
          <w:ilvl w:val="0"/>
          <w:numId w:val="1002"/>
        </w:numPr>
      </w:pPr>
      <w:r>
        <w:t xml:space="preserve">Consumer digital subscriptions and pricing actions;</w:t>
      </w:r>
    </w:p>
    <w:p>
      <w:pPr>
        <w:pStyle w:val="Compact"/>
        <w:numPr>
          <w:ilvl w:val="0"/>
          <w:numId w:val="1002"/>
        </w:numPr>
      </w:pPr>
      <w:r>
        <w:t xml:space="preserve">Growing enterprise partnerships.</w:t>
      </w:r>
    </w:p>
    <w:p>
      <w:pPr>
        <w:pStyle w:val="FirstParagraph"/>
      </w:pPr>
      <w:r>
        <w:t xml:space="preserve">The company has set an ambitious target for Dow Jones to reach</w:t>
      </w:r>
      <w:r>
        <w:t xml:space="preserve"> </w:t>
      </w:r>
      <w:r>
        <w:rPr>
          <w:b/>
          <w:bCs/>
        </w:rPr>
        <w:t xml:space="preserve">$1 billion of annual Segment EBITDA within five years</w:t>
      </w:r>
      <w:r>
        <w:t xml:space="preserve">. That is not formal guidance, but it makes the pace of professional-information growth particularly important.</w:t>
      </w:r>
    </w:p>
    <w:bookmarkEnd w:id="12"/>
    <w:bookmarkStart w:id="13" w:name="what-investors-should-watch"/>
    <w:p>
      <w:pPr>
        <w:pStyle w:val="Heading3"/>
      </w:pPr>
      <w:r>
        <w:t xml:space="preserve">What investors should watch</w:t>
      </w:r>
    </w:p>
    <w:p>
      <w:pPr>
        <w:pStyle w:val="Compact"/>
        <w:numPr>
          <w:ilvl w:val="0"/>
          <w:numId w:val="1003"/>
        </w:numPr>
      </w:pPr>
      <w:r>
        <w:t xml:space="preserve">Risk &amp; Compliance growth versus the Q2–Q3 ~20% pace.</w:t>
      </w:r>
    </w:p>
    <w:p>
      <w:pPr>
        <w:pStyle w:val="Compact"/>
        <w:numPr>
          <w:ilvl w:val="0"/>
          <w:numId w:val="1003"/>
        </w:numPr>
      </w:pPr>
      <w:r>
        <w:t xml:space="preserve">Dow Jones Energy growth and retention, particularly as energy-market volatility and U.S. export activity create demand for data and pricing products.</w:t>
      </w:r>
    </w:p>
    <w:p>
      <w:pPr>
        <w:pStyle w:val="Compact"/>
        <w:numPr>
          <w:ilvl w:val="0"/>
          <w:numId w:val="1003"/>
        </w:numPr>
      </w:pPr>
      <w:r>
        <w:t xml:space="preserve">Wall Street Journal subscription growth, but especially</w:t>
      </w:r>
      <w:r>
        <w:t xml:space="preserve"> </w:t>
      </w:r>
      <w:r>
        <w:rPr>
          <w:b/>
          <w:bCs/>
        </w:rPr>
        <w:t xml:space="preserve">ARPU and pricing realization</w:t>
      </w:r>
      <w:r>
        <w:t xml:space="preserve">.</w:t>
      </w:r>
    </w:p>
    <w:p>
      <w:pPr>
        <w:pStyle w:val="Compact"/>
        <w:numPr>
          <w:ilvl w:val="0"/>
          <w:numId w:val="1003"/>
        </w:numPr>
      </w:pPr>
      <w:r>
        <w:t xml:space="preserve">Enterprise subscription additions, which management said should be “notably higher” in Q4.</w:t>
      </w:r>
    </w:p>
    <w:p>
      <w:pPr>
        <w:pStyle w:val="Compact"/>
        <w:numPr>
          <w:ilvl w:val="0"/>
          <w:numId w:val="1003"/>
        </w:numPr>
      </w:pPr>
      <w:r>
        <w:t xml:space="preserve">Segment margin progression.</w:t>
      </w:r>
    </w:p>
    <w:p>
      <w:pPr>
        <w:pStyle w:val="FirstParagraph"/>
      </w:pPr>
      <w:r>
        <w:t xml:space="preserve">The Q3 data suggest the consumer franchise remains healthy: Dow Jones consumer subscriptions averaged more than</w:t>
      </w:r>
      <w:r>
        <w:t xml:space="preserve"> </w:t>
      </w:r>
      <w:r>
        <w:rPr>
          <w:b/>
          <w:bCs/>
        </w:rPr>
        <w:t xml:space="preserve">6.5 million</w:t>
      </w:r>
      <w:r>
        <w:t xml:space="preserve">, while WSJ total subscriptions reached</w:t>
      </w:r>
      <w:r>
        <w:t xml:space="preserve"> </w:t>
      </w:r>
      <w:r>
        <w:rPr>
          <w:b/>
          <w:bCs/>
        </w:rPr>
        <w:t xml:space="preserve">4.7 million</w:t>
      </w:r>
      <w:r>
        <w:t xml:space="preserve">. The more consequential catalyst, however, is the mix shift toward professional information, which management characterizes as substantially higher margin.</w:t>
      </w:r>
    </w:p>
    <w:p>
      <w:pPr>
        <w:pStyle w:val="BodyText"/>
      </w:pPr>
      <w:r>
        <w:rPr>
          <w:b/>
          <w:bCs/>
        </w:rPr>
        <w:t xml:space="preserve">Preview takeaway:</w:t>
      </w:r>
      <w:r>
        <w:t xml:space="preserve"> </w:t>
      </w:r>
      <w:r>
        <w:t xml:space="preserve">Dow Jones needs to remain a double-digit EBITDA grower. If it does, it should support the argument that NWS deserves to be valued less like legacy media and more like a data-and-information platform.</w:t>
      </w:r>
    </w:p>
    <w:p>
      <w:r>
        <w:pict>
          <v:rect style="width:0;height:1.5pt" o:hralign="center" o:hrstd="t" o:hr="t"/>
        </w:pict>
      </w:r>
    </w:p>
    <w:bookmarkEnd w:id="13"/>
    <w:bookmarkStart w:id="16" w:name="X693b0a14359a68a633842d02e7d97122c07acc8"/>
    <w:p>
      <w:pPr>
        <w:pStyle w:val="Heading3"/>
      </w:pPr>
      <w:r>
        <w:t xml:space="preserve">2. Digital Real Estate Services: growth despite a soft U.S. housing backdrop</w:t>
      </w:r>
    </w:p>
    <w:p>
      <w:pPr>
        <w:pStyle w:val="FirstParagraph"/>
      </w:pPr>
      <w:r>
        <w:t xml:space="preserve">Digital Real Estate Services was the largest contributor to Q3 EBITDA growth. Revenue increased</w:t>
      </w:r>
      <w:r>
        <w:t xml:space="preserve"> </w:t>
      </w:r>
      <w:r>
        <w:rPr>
          <w:b/>
          <w:bCs/>
        </w:rPr>
        <w:t xml:space="preserve">17% reported</w:t>
      </w:r>
      <w:r>
        <w:t xml:space="preserve"> </w:t>
      </w:r>
      <w:r>
        <w:t xml:space="preserve">and</w:t>
      </w:r>
      <w:r>
        <w:t xml:space="preserve"> </w:t>
      </w:r>
      <w:r>
        <w:rPr>
          <w:b/>
          <w:bCs/>
        </w:rPr>
        <w:t xml:space="preserve">8% on an adjusted basis</w:t>
      </w:r>
      <w:r>
        <w:t xml:space="preserve">, while Segment EBITDA rose</w:t>
      </w:r>
      <w:r>
        <w:t xml:space="preserve"> </w:t>
      </w:r>
      <w:r>
        <w:rPr>
          <w:b/>
          <w:bCs/>
        </w:rPr>
        <w:t xml:space="preserve">25% reported</w:t>
      </w:r>
      <w:r>
        <w:t xml:space="preserve"> </w:t>
      </w:r>
      <w:r>
        <w:t xml:space="preserve">and</w:t>
      </w:r>
      <w:r>
        <w:t xml:space="preserve"> </w:t>
      </w:r>
      <w:r>
        <w:rPr>
          <w:b/>
          <w:bCs/>
        </w:rPr>
        <w:t xml:space="preserve">16% adjusted</w:t>
      </w:r>
      <w:r>
        <w:t xml:space="preserve">.</w:t>
      </w:r>
    </w:p>
    <w:bookmarkStart w:id="14" w:name="rea-group"/>
    <w:p>
      <w:pPr>
        <w:pStyle w:val="Heading4"/>
      </w:pPr>
      <w:r>
        <w:t xml:space="preserve">REA Group</w:t>
      </w:r>
    </w:p>
    <w:p>
      <w:pPr>
        <w:pStyle w:val="FirstParagraph"/>
      </w:pPr>
      <w:r>
        <w:t xml:space="preserve">REA Group continues to benefit from pricing, deeper product penetration, and Australian residential-market mix. Q3 revenue rose</w:t>
      </w:r>
      <w:r>
        <w:t xml:space="preserve"> </w:t>
      </w:r>
      <w:r>
        <w:rPr>
          <w:b/>
          <w:bCs/>
        </w:rPr>
        <w:t xml:space="preserve">20% reported</w:t>
      </w:r>
      <w:r>
        <w:t xml:space="preserve">, or</w:t>
      </w:r>
      <w:r>
        <w:t xml:space="preserve"> </w:t>
      </w:r>
      <w:r>
        <w:rPr>
          <w:b/>
          <w:bCs/>
        </w:rPr>
        <w:t xml:space="preserve">8% in constant currency</w:t>
      </w:r>
      <w:r>
        <w:t xml:space="preserve">, with a 14% improvement in yield cited on the earnings call.</w:t>
      </w:r>
    </w:p>
    <w:p>
      <w:pPr>
        <w:pStyle w:val="BodyText"/>
      </w:pPr>
      <w:r>
        <w:t xml:space="preserve">The most encouraging leading indicator was that</w:t>
      </w:r>
      <w:r>
        <w:t xml:space="preserve"> </w:t>
      </w:r>
      <w:r>
        <w:rPr>
          <w:b/>
          <w:bCs/>
        </w:rPr>
        <w:t xml:space="preserve">Australian residential new-buy listings rose 19% in April</w:t>
      </w:r>
      <w:r>
        <w:t xml:space="preserve">. That figure does not represent the entire quarter, but it suggests a supportive start to fiscal Q4.</w:t>
      </w:r>
    </w:p>
    <w:bookmarkEnd w:id="14"/>
    <w:bookmarkStart w:id="15" w:name="move--realtorcom"/>
    <w:p>
      <w:pPr>
        <w:pStyle w:val="Heading4"/>
      </w:pPr>
      <w:r>
        <w:t xml:space="preserve">Move / Realtor.com</w:t>
      </w:r>
    </w:p>
    <w:p>
      <w:pPr>
        <w:pStyle w:val="FirstParagraph"/>
      </w:pPr>
      <w:r>
        <w:t xml:space="preserve">Move revenue increased</w:t>
      </w:r>
      <w:r>
        <w:t xml:space="preserve"> </w:t>
      </w:r>
      <w:r>
        <w:rPr>
          <w:b/>
          <w:bCs/>
        </w:rPr>
        <w:t xml:space="preserve">10%</w:t>
      </w:r>
      <w:r>
        <w:t xml:space="preserve"> </w:t>
      </w:r>
      <w:r>
        <w:t xml:space="preserve">in Q3 to $148 million, supported by RealPRO Select, higher revenue per lead, and growth in seller, rentals, and new-homes adjacencies. Lead volume increased</w:t>
      </w:r>
      <w:r>
        <w:t xml:space="preserve"> </w:t>
      </w:r>
      <w:r>
        <w:rPr>
          <w:b/>
          <w:bCs/>
        </w:rPr>
        <w:t xml:space="preserve">6%</w:t>
      </w:r>
      <w:r>
        <w:t xml:space="preserve">, while Realtor.com continued to gain visit share.</w:t>
      </w:r>
    </w:p>
    <w:p>
      <w:pPr>
        <w:pStyle w:val="BodyText"/>
      </w:pPr>
      <w:r>
        <w:t xml:space="preserve">The strategic point is that Realtor.com has grown in a weak transaction environment. Management said Realtor.com’s trailing-12-month revenue relative to existing-home sales was more than</w:t>
      </w:r>
      <w:r>
        <w:t xml:space="preserve"> </w:t>
      </w:r>
      <w:r>
        <w:rPr>
          <w:b/>
          <w:bCs/>
        </w:rPr>
        <w:t xml:space="preserve">20% above</w:t>
      </w:r>
      <w:r>
        <w:t xml:space="preserve"> </w:t>
      </w:r>
      <w:r>
        <w:t xml:space="preserve">fiscal Q3 2022 levels. If housing activity eventually normalizes, that improved monetization creates operating leverage.</w:t>
      </w:r>
    </w:p>
    <w:bookmarkEnd w:id="15"/>
    <w:bookmarkEnd w:id="16"/>
    <w:bookmarkStart w:id="17" w:name="what-investors-should-watch-1"/>
    <w:p>
      <w:pPr>
        <w:pStyle w:val="Heading3"/>
      </w:pPr>
      <w:r>
        <w:t xml:space="preserve">What investors should watch</w:t>
      </w:r>
    </w:p>
    <w:p>
      <w:pPr>
        <w:pStyle w:val="Compact"/>
        <w:numPr>
          <w:ilvl w:val="0"/>
          <w:numId w:val="1004"/>
        </w:numPr>
      </w:pPr>
      <w:r>
        <w:t xml:space="preserve">Revenue growth at Realtor.com versus the Q3 10% rate.</w:t>
      </w:r>
    </w:p>
    <w:p>
      <w:pPr>
        <w:pStyle w:val="Compact"/>
        <w:numPr>
          <w:ilvl w:val="0"/>
          <w:numId w:val="1004"/>
        </w:numPr>
      </w:pPr>
      <w:r>
        <w:t xml:space="preserve">Lead-volume and yield trends, rather than traffic alone.</w:t>
      </w:r>
    </w:p>
    <w:p>
      <w:pPr>
        <w:pStyle w:val="Compact"/>
        <w:numPr>
          <w:ilvl w:val="0"/>
          <w:numId w:val="1004"/>
        </w:numPr>
      </w:pPr>
      <w:r>
        <w:t xml:space="preserve">Whether higher mortgage rates have interrupted the expected housing recovery.</w:t>
      </w:r>
    </w:p>
    <w:p>
      <w:pPr>
        <w:pStyle w:val="Compact"/>
        <w:numPr>
          <w:ilvl w:val="0"/>
          <w:numId w:val="1004"/>
        </w:numPr>
      </w:pPr>
      <w:r>
        <w:t xml:space="preserve">REA listing volumes, pricing, and financial-services growth.</w:t>
      </w:r>
    </w:p>
    <w:p>
      <w:pPr>
        <w:pStyle w:val="Compact"/>
        <w:numPr>
          <w:ilvl w:val="0"/>
          <w:numId w:val="1004"/>
        </w:numPr>
      </w:pPr>
      <w:r>
        <w:t xml:space="preserve">Segment EBITDA margin: Q3 reported margin reached</w:t>
      </w:r>
      <w:r>
        <w:t xml:space="preserve"> </w:t>
      </w:r>
      <w:r>
        <w:rPr>
          <w:b/>
          <w:bCs/>
        </w:rPr>
        <w:t xml:space="preserve">32.8%</w:t>
      </w:r>
      <w:r>
        <w:t xml:space="preserve">.</w:t>
      </w:r>
    </w:p>
    <w:p>
      <w:pPr>
        <w:pStyle w:val="FirstParagraph"/>
      </w:pPr>
      <w:r>
        <w:rPr>
          <w:b/>
          <w:bCs/>
        </w:rPr>
        <w:t xml:space="preserve">Preview takeaway:</w:t>
      </w:r>
      <w:r>
        <w:t xml:space="preserve"> </w:t>
      </w:r>
      <w:r>
        <w:t xml:space="preserve">A strong result here would reinforce the view that NWS has reduced its sensitivity to housing transaction volumes through better monetization and premium products. A slowdown at Move would be the most material near-term risk to that thesis.</w:t>
      </w:r>
    </w:p>
    <w:p>
      <w:r>
        <w:pict>
          <v:rect style="width:0;height:1.5pt" o:hralign="center" o:hrstd="t" o:hr="t"/>
        </w:pict>
      </w:r>
    </w:p>
    <w:bookmarkEnd w:id="17"/>
    <w:bookmarkStart w:id="18" w:name="Xf0ec6d8c9109cb72f88c9fc71564e25769eaac4"/>
    <w:p>
      <w:pPr>
        <w:pStyle w:val="Heading3"/>
      </w:pPr>
      <w:r>
        <w:t xml:space="preserve">3. Book Publishing: the Q4 swing factor</w:t>
      </w:r>
    </w:p>
    <w:p>
      <w:pPr>
        <w:pStyle w:val="FirstParagraph"/>
      </w:pPr>
      <w:r>
        <w:t xml:space="preserve">Book Publishing has the easiest year-over-year EBITDA comparison. In Q4 FY25, revenue fell 4% and EBITDA declined 12% to just $50 million amid a softer frontlist and industry demand. By contrast, Q3 FY26 revenue rose</w:t>
      </w:r>
      <w:r>
        <w:t xml:space="preserve"> </w:t>
      </w:r>
      <w:r>
        <w:rPr>
          <w:b/>
          <w:bCs/>
        </w:rPr>
        <w:t xml:space="preserve">8%</w:t>
      </w:r>
      <w:r>
        <w:t xml:space="preserve"> </w:t>
      </w:r>
      <w:r>
        <w:t xml:space="preserve">and EBITDA increased</w:t>
      </w:r>
      <w:r>
        <w:t xml:space="preserve"> </w:t>
      </w:r>
      <w:r>
        <w:rPr>
          <w:b/>
          <w:bCs/>
        </w:rPr>
        <w:t xml:space="preserve">14%</w:t>
      </w:r>
      <w:r>
        <w:t xml:space="preserve"> </w:t>
      </w:r>
      <w:r>
        <w:t xml:space="preserve">to $73 million, aided by the</w:t>
      </w:r>
      <w:r>
        <w:t xml:space="preserve"> </w:t>
      </w:r>
      <w:r>
        <w:rPr>
          <w:i/>
          <w:iCs/>
        </w:rPr>
        <w:t xml:space="preserve">Game Changers</w:t>
      </w:r>
      <w:r>
        <w:t xml:space="preserve"> </w:t>
      </w:r>
      <w:r>
        <w:t xml:space="preserve">franchise and higher digital sales.</w:t>
      </w:r>
    </w:p>
    <w:p>
      <w:pPr>
        <w:pStyle w:val="BodyText"/>
      </w:pPr>
      <w:r>
        <w:t xml:space="preserve">Management entered Q4 expecting a</w:t>
      </w:r>
      <w:r>
        <w:t xml:space="preserve"> </w:t>
      </w:r>
      <w:r>
        <w:rPr>
          <w:b/>
          <w:bCs/>
        </w:rPr>
        <w:t xml:space="preserve">stronger frontlist program</w:t>
      </w:r>
      <w:r>
        <w:t xml:space="preserve">, highlighting titles including J.D. Vance’s</w:t>
      </w:r>
      <w:r>
        <w:t xml:space="preserve"> </w:t>
      </w:r>
      <w:r>
        <w:rPr>
          <w:i/>
          <w:iCs/>
        </w:rPr>
        <w:t xml:space="preserve">Communion</w:t>
      </w:r>
      <w:r>
        <w:t xml:space="preserve">, Ann Patchett, Alex Aster, Laurie Gilmore, Sarah A. Parker, and Dana Perino.</w:t>
      </w:r>
    </w:p>
    <w:bookmarkEnd w:id="18"/>
    <w:bookmarkStart w:id="19" w:name="what-investors-should-watch-2"/>
    <w:p>
      <w:pPr>
        <w:pStyle w:val="Heading3"/>
      </w:pPr>
      <w:r>
        <w:t xml:space="preserve">What investors should watch</w:t>
      </w:r>
    </w:p>
    <w:p>
      <w:pPr>
        <w:pStyle w:val="Compact"/>
        <w:numPr>
          <w:ilvl w:val="0"/>
          <w:numId w:val="1005"/>
        </w:numPr>
      </w:pPr>
      <w:r>
        <w:t xml:space="preserve">Whether Q4 frontlist releases convert into revenue and EBITDA growth.</w:t>
      </w:r>
    </w:p>
    <w:p>
      <w:pPr>
        <w:pStyle w:val="Compact"/>
        <w:numPr>
          <w:ilvl w:val="0"/>
          <w:numId w:val="1005"/>
        </w:numPr>
      </w:pPr>
      <w:r>
        <w:t xml:space="preserve">The contribution from e-books and audiobooks.</w:t>
      </w:r>
    </w:p>
    <w:p>
      <w:pPr>
        <w:pStyle w:val="Compact"/>
        <w:numPr>
          <w:ilvl w:val="0"/>
          <w:numId w:val="1005"/>
        </w:numPr>
      </w:pPr>
      <w:r>
        <w:t xml:space="preserve">Backlist stability, which represented approximately 64% of Q3 consumer revenue.</w:t>
      </w:r>
    </w:p>
    <w:p>
      <w:pPr>
        <w:pStyle w:val="Compact"/>
        <w:numPr>
          <w:ilvl w:val="0"/>
          <w:numId w:val="1005"/>
        </w:numPr>
      </w:pPr>
      <w:r>
        <w:t xml:space="preserve">Any residual impact from the $16 million international inventory write-off recorded in Q2.</w:t>
      </w:r>
    </w:p>
    <w:p>
      <w:pPr>
        <w:pStyle w:val="Compact"/>
        <w:numPr>
          <w:ilvl w:val="0"/>
          <w:numId w:val="1005"/>
        </w:numPr>
      </w:pPr>
      <w:r>
        <w:t xml:space="preserve">Treatment of the Anthropic settlement: management said it expects a share of the $1.5 billion class settlement, but it had</w:t>
      </w:r>
      <w:r>
        <w:t xml:space="preserve"> </w:t>
      </w:r>
      <w:r>
        <w:rPr>
          <w:b/>
          <w:bCs/>
        </w:rPr>
        <w:t xml:space="preserve">not recognized a gain through Q3</w:t>
      </w:r>
      <w:r>
        <w:t xml:space="preserve"> </w:t>
      </w:r>
      <w:r>
        <w:t xml:space="preserve">because timing and the final amount remained uncertain.</w:t>
      </w:r>
    </w:p>
    <w:p>
      <w:pPr>
        <w:pStyle w:val="FirstParagraph"/>
      </w:pPr>
      <w:r>
        <w:rPr>
          <w:b/>
          <w:bCs/>
        </w:rPr>
        <w:t xml:space="preserve">Preview takeaway:</w:t>
      </w:r>
      <w:r>
        <w:t xml:space="preserve"> </w:t>
      </w:r>
      <w:r>
        <w:t xml:space="preserve">Book Publishing need not be the long-term valuation driver, but a material year-over-year Q4 improvement would make it easier for consolidated EBITDA to exceed the prior-year base.</w:t>
      </w:r>
    </w:p>
    <w:p>
      <w:r>
        <w:pict>
          <v:rect style="width:0;height:1.5pt" o:hralign="center" o:hrstd="t" o:hr="t"/>
        </w:pict>
      </w:r>
    </w:p>
    <w:bookmarkEnd w:id="19"/>
    <w:bookmarkStart w:id="20" w:name="X25aa78cef9f89155b94324b5efe7d85b3a61158"/>
    <w:p>
      <w:pPr>
        <w:pStyle w:val="Heading3"/>
      </w:pPr>
      <w:r>
        <w:t xml:space="preserve">4. News Media: contain the drag, demonstrate licensing upside</w:t>
      </w:r>
    </w:p>
    <w:p>
      <w:pPr>
        <w:pStyle w:val="FirstParagraph"/>
      </w:pPr>
      <w:r>
        <w:t xml:space="preserve">News Media remains the portfolio’s structural challenge. In Q3, adjusted revenue declined</w:t>
      </w:r>
      <w:r>
        <w:t xml:space="preserve"> </w:t>
      </w:r>
      <w:r>
        <w:rPr>
          <w:b/>
          <w:bCs/>
        </w:rPr>
        <w:t xml:space="preserve">2%</w:t>
      </w:r>
      <w:r>
        <w:t xml:space="preserve"> </w:t>
      </w:r>
      <w:r>
        <w:t xml:space="preserve">and adjusted Segment EBITDA fell</w:t>
      </w:r>
      <w:r>
        <w:t xml:space="preserve"> </w:t>
      </w:r>
      <w:r>
        <w:rPr>
          <w:b/>
          <w:bCs/>
        </w:rPr>
        <w:t xml:space="preserve">61%</w:t>
      </w:r>
      <w:r>
        <w:t xml:space="preserve"> </w:t>
      </w:r>
      <w:r>
        <w:t xml:space="preserve">to $13 million, reflecting weaker News UK performance and start-up expenses for the California Post.</w:t>
      </w:r>
    </w:p>
    <w:p>
      <w:pPr>
        <w:pStyle w:val="BodyText"/>
      </w:pPr>
      <w:r>
        <w:t xml:space="preserve">For Q4, management indicated two opposing factors:</w:t>
      </w:r>
    </w:p>
    <w:p>
      <w:pPr>
        <w:pStyle w:val="Compact"/>
        <w:numPr>
          <w:ilvl w:val="0"/>
          <w:numId w:val="1006"/>
        </w:numPr>
      </w:pPr>
      <w:r>
        <w:rPr>
          <w:b/>
          <w:bCs/>
        </w:rPr>
        <w:t xml:space="preserve">Incremental California Post costs</w:t>
      </w:r>
      <w:r>
        <w:t xml:space="preserve"> </w:t>
      </w:r>
      <w:r>
        <w:t xml:space="preserve">versus the prior year; but</w:t>
      </w:r>
    </w:p>
    <w:p>
      <w:pPr>
        <w:pStyle w:val="Compact"/>
        <w:numPr>
          <w:ilvl w:val="0"/>
          <w:numId w:val="1006"/>
        </w:numPr>
      </w:pPr>
      <w:r>
        <w:t xml:space="preserve">Benefits from</w:t>
      </w:r>
      <w:r>
        <w:t xml:space="preserve"> </w:t>
      </w:r>
      <w:r>
        <w:rPr>
          <w:b/>
          <w:bCs/>
        </w:rPr>
        <w:t xml:space="preserve">new content-licensing revenue</w:t>
      </w:r>
      <w:r>
        <w:t xml:space="preserve">.</w:t>
      </w:r>
    </w:p>
    <w:p>
      <w:pPr>
        <w:pStyle w:val="FirstParagraph"/>
      </w:pPr>
      <w:r>
        <w:t xml:space="preserve">Digital subscriber trends remain positive at</w:t>
      </w:r>
      <w:r>
        <w:t xml:space="preserve"> </w:t>
      </w:r>
      <w:r>
        <w:rPr>
          <w:i/>
          <w:iCs/>
        </w:rPr>
        <w:t xml:space="preserve">The Times</w:t>
      </w:r>
      <w:r>
        <w:t xml:space="preserve"> </w:t>
      </w:r>
      <w:r>
        <w:t xml:space="preserve">and across News Corp Australia, but ad and print trends are less dependable. The segment’s result is unlikely to be the core investment debate unless the loss of profitability becomes materially worse than expected.</w:t>
      </w:r>
    </w:p>
    <w:p>
      <w:pPr>
        <w:pStyle w:val="BodyText"/>
      </w:pPr>
      <w:r>
        <w:rPr>
          <w:b/>
          <w:bCs/>
        </w:rPr>
        <w:t xml:space="preserve">Preview takeaway:</w:t>
      </w:r>
      <w:r>
        <w:t xml:space="preserve"> </w:t>
      </w:r>
      <w:r>
        <w:t xml:space="preserve">Investors should look for evidence that management can cap California Post launch costs while extracting incremental licensing and digital revenue. Even stabilization would be adequate if the growth segments continue to outperform.</w:t>
      </w:r>
    </w:p>
    <w:p>
      <w:r>
        <w:pict>
          <v:rect style="width:0;height:1.5pt" o:hralign="center" o:hrstd="t" o:hr="t"/>
        </w:pict>
      </w:r>
    </w:p>
    <w:bookmarkEnd w:id="20"/>
    <w:bookmarkEnd w:id="21"/>
    <w:bookmarkStart w:id="23" w:name="X8800b9ea59e983da97586103cbaef8084d6951e"/>
    <w:p>
      <w:pPr>
        <w:pStyle w:val="Heading2"/>
      </w:pPr>
      <w:r>
        <w:t xml:space="preserve">AI: an option value that investors will want quantified</w:t>
      </w:r>
    </w:p>
    <w:p>
      <w:pPr>
        <w:pStyle w:val="FirstParagraph"/>
      </w:pPr>
      <w:r>
        <w:t xml:space="preserve">AI-related content licensing has moved from a narrative to a potential earnings contributor. News Corp has agreements with</w:t>
      </w:r>
      <w:r>
        <w:t xml:space="preserve"> </w:t>
      </w:r>
      <w:r>
        <w:rPr>
          <w:b/>
          <w:bCs/>
        </w:rPr>
        <w:t xml:space="preserve">OpenAI, Meta, and Bloomberg</w:t>
      </w:r>
      <w:r>
        <w:t xml:space="preserve">, and management has said it is in advanced discussions with other AI companies. It also expects to receive proceeds from the Anthropic copyright settlement through HarperCollins.</w:t>
      </w:r>
    </w:p>
    <w:p>
      <w:pPr>
        <w:pStyle w:val="BodyText"/>
      </w:pPr>
      <w:r>
        <w:t xml:space="preserve">The company’s position is that authoritative content, archives, real-time news, data, and real-estate information are valuable AI inputs. That proposition is credible, but investors need better disclosure on the economic magnitude and timing.</w:t>
      </w:r>
    </w:p>
    <w:bookmarkStart w:id="22" w:name="questions-for-the-call"/>
    <w:p>
      <w:pPr>
        <w:pStyle w:val="Heading3"/>
      </w:pPr>
      <w:r>
        <w:t xml:space="preserve">Questions for the call</w:t>
      </w:r>
    </w:p>
    <w:p>
      <w:pPr>
        <w:pStyle w:val="Compact"/>
        <w:numPr>
          <w:ilvl w:val="0"/>
          <w:numId w:val="1007"/>
        </w:numPr>
      </w:pPr>
      <w:r>
        <w:t xml:space="preserve">Did any additional AI licensing agreements close in Q4?</w:t>
      </w:r>
    </w:p>
    <w:p>
      <w:pPr>
        <w:pStyle w:val="Compact"/>
        <w:numPr>
          <w:ilvl w:val="0"/>
          <w:numId w:val="1007"/>
        </w:numPr>
      </w:pPr>
      <w:r>
        <w:t xml:space="preserve">What revenue was recognized from existing AI agreements in fiscal 2026?</w:t>
      </w:r>
    </w:p>
    <w:p>
      <w:pPr>
        <w:pStyle w:val="Compact"/>
        <w:numPr>
          <w:ilvl w:val="0"/>
          <w:numId w:val="1007"/>
        </w:numPr>
      </w:pPr>
      <w:r>
        <w:t xml:space="preserve">Are AI contracts recurring, usage-based, or predominantly upfront?</w:t>
      </w:r>
    </w:p>
    <w:p>
      <w:pPr>
        <w:pStyle w:val="Compact"/>
        <w:numPr>
          <w:ilvl w:val="0"/>
          <w:numId w:val="1007"/>
        </w:numPr>
      </w:pPr>
      <w:r>
        <w:t xml:space="preserve">How much of the benefit accrues to Dow Jones versus News Media, HarperCollins, and Digital Real Estate?</w:t>
      </w:r>
    </w:p>
    <w:p>
      <w:pPr>
        <w:pStyle w:val="Compact"/>
        <w:numPr>
          <w:ilvl w:val="0"/>
          <w:numId w:val="1007"/>
        </w:numPr>
      </w:pPr>
      <w:r>
        <w:t xml:space="preserve">Are AI tools already generating measurable product-development or operating-efficiency savings?</w:t>
      </w:r>
    </w:p>
    <w:p>
      <w:pPr>
        <w:pStyle w:val="FirstParagraph"/>
      </w:pPr>
      <w:r>
        <w:t xml:space="preserve">A meaningful answer could be a positive catalyst. Conversely, continued qualitative commentary without financial detail may temper enthusiasm.</w:t>
      </w:r>
    </w:p>
    <w:p>
      <w:r>
        <w:pict>
          <v:rect style="width:0;height:1.5pt" o:hralign="center" o:hrstd="t" o:hr="t"/>
        </w:pict>
      </w:r>
    </w:p>
    <w:bookmarkEnd w:id="22"/>
    <w:bookmarkEnd w:id="23"/>
    <w:bookmarkStart w:id="24" w:name="X4818d470f10d5f34bfa1c42676c98dcd0f94387"/>
    <w:p>
      <w:pPr>
        <w:pStyle w:val="Heading2"/>
      </w:pPr>
      <w:r>
        <w:t xml:space="preserve">Capital allocation and balance sheet: a meaningful support to per-share growth</w:t>
      </w:r>
    </w:p>
    <w:p>
      <w:pPr>
        <w:pStyle w:val="FirstParagraph"/>
      </w:pPr>
      <w:r>
        <w:t xml:space="preserve">News Corp has used its balance sheet and post-Foxtel flexibility to accelerate repurchases.</w:t>
      </w:r>
    </w:p>
    <w:p>
      <w:pPr>
        <w:pStyle w:val="Compact"/>
        <w:numPr>
          <w:ilvl w:val="0"/>
          <w:numId w:val="1008"/>
        </w:numPr>
      </w:pPr>
      <w:r>
        <w:t xml:space="preserve">Through March 31, it had repurchased</w:t>
      </w:r>
      <w:r>
        <w:t xml:space="preserve"> </w:t>
      </w:r>
      <w:r>
        <w:rPr>
          <w:b/>
          <w:bCs/>
        </w:rPr>
        <w:t xml:space="preserve">$459 million</w:t>
      </w:r>
      <w:r>
        <w:t xml:space="preserve"> </w:t>
      </w:r>
      <w:r>
        <w:t xml:space="preserve">of stock in fiscal 2026, versus $115 million in the comparable prior-year period.</w:t>
      </w:r>
    </w:p>
    <w:p>
      <w:pPr>
        <w:pStyle w:val="Compact"/>
        <w:numPr>
          <w:ilvl w:val="0"/>
          <w:numId w:val="1008"/>
        </w:numPr>
      </w:pPr>
      <w:r>
        <w:t xml:space="preserve">Total shares repurchased through the first nine months were</w:t>
      </w:r>
      <w:r>
        <w:t xml:space="preserve"> </w:t>
      </w:r>
      <w:r>
        <w:rPr>
          <w:b/>
          <w:bCs/>
        </w:rPr>
        <w:t xml:space="preserve">16.8 million</w:t>
      </w:r>
      <w:r>
        <w:t xml:space="preserve">.</w:t>
      </w:r>
    </w:p>
    <w:p>
      <w:pPr>
        <w:pStyle w:val="Compact"/>
        <w:numPr>
          <w:ilvl w:val="0"/>
          <w:numId w:val="1008"/>
        </w:numPr>
      </w:pPr>
      <w:r>
        <w:t xml:space="preserve">The company had approximately</w:t>
      </w:r>
      <w:r>
        <w:t xml:space="preserve"> </w:t>
      </w:r>
      <w:r>
        <w:rPr>
          <w:b/>
          <w:bCs/>
        </w:rPr>
        <w:t xml:space="preserve">$851 million</w:t>
      </w:r>
      <w:r>
        <w:t xml:space="preserve"> </w:t>
      </w:r>
      <w:r>
        <w:t xml:space="preserve">remaining under the 2025 $1 billion authorization as of March 31.</w:t>
      </w:r>
    </w:p>
    <w:p>
      <w:pPr>
        <w:pStyle w:val="Compact"/>
        <w:numPr>
          <w:ilvl w:val="0"/>
          <w:numId w:val="1008"/>
        </w:numPr>
      </w:pPr>
      <w:r>
        <w:t xml:space="preserve">ASX disclosures indicate repurchases continued into late July and early August.</w:t>
      </w:r>
    </w:p>
    <w:p>
      <w:pPr>
        <w:pStyle w:val="Compact"/>
        <w:numPr>
          <w:ilvl w:val="0"/>
          <w:numId w:val="1008"/>
        </w:numPr>
      </w:pPr>
      <w:r>
        <w:t xml:space="preserve">The company ended Q3 with</w:t>
      </w:r>
      <w:r>
        <w:t xml:space="preserve"> </w:t>
      </w:r>
      <m:oMath>
        <m:r>
          <m:t>2.17</m:t>
        </m:r>
        <m:r>
          <m:t>b</m:t>
        </m:r>
        <m:r>
          <m:t>i</m:t>
        </m:r>
        <m:r>
          <m:t>l</m:t>
        </m:r>
        <m:r>
          <m:t>l</m:t>
        </m:r>
        <m:r>
          <m:t>i</m:t>
        </m:r>
        <m:r>
          <m:t>o</m:t>
        </m:r>
        <m:r>
          <m:t>n</m:t>
        </m:r>
        <m:r>
          <m:t>o</m:t>
        </m:r>
        <m:r>
          <m:t>f</m:t>
        </m:r>
        <m:r>
          <m:t>c</m:t>
        </m:r>
        <m:r>
          <m:t>a</m:t>
        </m:r>
        <m:r>
          <m:t>s</m:t>
        </m:r>
        <m:r>
          <m:t>h</m:t>
        </m:r>
        <m:r>
          <m:rPr>
            <m:sty m:val="p"/>
          </m:rPr>
          <m:t>*</m:t>
        </m:r>
        <m:r>
          <m:rPr>
            <m:sty m:val="p"/>
          </m:rPr>
          <m:t>*</m:t>
        </m:r>
        <m:r>
          <m:t>a</m:t>
        </m:r>
        <m:r>
          <m:t>n</m:t>
        </m:r>
        <m:r>
          <m:t>d</m:t>
        </m:r>
        <m:r>
          <m:rPr>
            <m:sty m:val="p"/>
          </m:rPr>
          <m:t>*</m:t>
        </m:r>
        <m:r>
          <m:rPr>
            <m:sty m:val="p"/>
          </m:rPr>
          <m:t>*</m:t>
        </m:r>
      </m:oMath>
      <w:r>
        <w:rPr>
          <w:b/>
          <w:bCs/>
        </w:rPr>
        <w:t xml:space="preserve">1.99 billion of borrowings</w:t>
      </w:r>
      <w:r>
        <w:t xml:space="preserve">.</w:t>
      </w:r>
    </w:p>
    <w:p>
      <w:pPr>
        <w:pStyle w:val="FirstParagraph"/>
      </w:pPr>
      <w:r>
        <w:t xml:space="preserve">The buyback is important because it supports adjusted EPS even in periods where underlying net income is affected by taxes, investment marks, restructuring charges, or noncontrolling interests. It also signals management’s view that the shares trade below intrinsic value.</w:t>
      </w:r>
    </w:p>
    <w:p>
      <w:pPr>
        <w:pStyle w:val="BodyText"/>
      </w:pPr>
      <w:r>
        <w:t xml:space="preserve">NWS closed at</w:t>
      </w:r>
      <w:r>
        <w:t xml:space="preserve"> </w:t>
      </w:r>
      <w:r>
        <w:rPr>
          <w:b/>
          <w:bCs/>
        </w:rPr>
        <w:t xml:space="preserve">$32.74 on August 4</w:t>
      </w:r>
      <w:r>
        <w:t xml:space="preserve">, up about</w:t>
      </w:r>
      <w:r>
        <w:t xml:space="preserve"> </w:t>
      </w:r>
      <w:r>
        <w:rPr>
          <w:b/>
          <w:bCs/>
        </w:rPr>
        <w:t xml:space="preserve">12% from July 1</w:t>
      </w:r>
      <w:r>
        <w:t xml:space="preserve">. The pre-earnings move raises the bar somewhat: investors likely need both a solid Q4 print and confirmation that fiscal 2027 growth and capital returns remain intact.</w:t>
      </w:r>
    </w:p>
    <w:p>
      <w:r>
        <w:pict>
          <v:rect style="width:0;height:1.5pt" o:hralign="center" o:hrstd="t" o:hr="t"/>
        </w:pict>
      </w:r>
    </w:p>
    <w:bookmarkEnd w:id="24"/>
    <w:bookmarkStart w:id="25" w:name="key-risks-into-earnings"/>
    <w:p>
      <w:pPr>
        <w:pStyle w:val="Heading2"/>
      </w:pPr>
      <w:r>
        <w:t xml:space="preserve">Key risks into earnings</w:t>
      </w:r>
    </w:p>
    <w:p>
      <w:pPr>
        <w:numPr>
          <w:ilvl w:val="0"/>
          <w:numId w:val="1009"/>
        </w:numPr>
      </w:pPr>
      <w:r>
        <w:rPr>
          <w:b/>
          <w:bCs/>
        </w:rPr>
        <w:t xml:space="preserve">Foreign exchange can distort reported growth.</w:t>
      </w:r>
      <w:r>
        <w:t xml:space="preserve"> </w:t>
      </w:r>
      <w:r>
        <w:t xml:space="preserve">Q3 benefited from an $88 million revenue and $16 million EBITDA tailwind from FX. Investors should separate reported from constant-currency results.</w:t>
      </w:r>
    </w:p>
    <w:p>
      <w:pPr>
        <w:numPr>
          <w:ilvl w:val="0"/>
          <w:numId w:val="1009"/>
        </w:numPr>
      </w:pPr>
      <w:r>
        <w:rPr>
          <w:b/>
          <w:bCs/>
        </w:rPr>
        <w:t xml:space="preserve">U.S. housing remains rate-sensitive.</w:t>
      </w:r>
      <w:r>
        <w:t xml:space="preserve"> </w:t>
      </w:r>
      <w:r>
        <w:t xml:space="preserve">Realtor.com has outperformed despite low transaction activity, but a further mortgage-rate-driven slowdown could constrain leads and agent spending.</w:t>
      </w:r>
    </w:p>
    <w:p>
      <w:pPr>
        <w:numPr>
          <w:ilvl w:val="0"/>
          <w:numId w:val="1009"/>
        </w:numPr>
      </w:pPr>
      <w:r>
        <w:rPr>
          <w:b/>
          <w:bCs/>
        </w:rPr>
        <w:t xml:space="preserve">News Media could consume more investment than expected.</w:t>
      </w:r>
      <w:r>
        <w:t xml:space="preserve"> </w:t>
      </w:r>
      <w:r>
        <w:t xml:space="preserve">California Post start-up costs and persistent print-ad declines may continue to pressure segment EBITDA.</w:t>
      </w:r>
    </w:p>
    <w:p>
      <w:pPr>
        <w:numPr>
          <w:ilvl w:val="0"/>
          <w:numId w:val="1009"/>
        </w:numPr>
      </w:pPr>
      <w:r>
        <w:rPr>
          <w:b/>
          <w:bCs/>
        </w:rPr>
        <w:t xml:space="preserve">Book Publishing is title-dependent.</w:t>
      </w:r>
      <w:r>
        <w:t xml:space="preserve"> </w:t>
      </w:r>
      <w:r>
        <w:t xml:space="preserve">A stronger frontlist is expected, but publishing results can vary meaningfully with sales mix, returns, and release timing.</w:t>
      </w:r>
    </w:p>
    <w:p>
      <w:pPr>
        <w:numPr>
          <w:ilvl w:val="0"/>
          <w:numId w:val="1009"/>
        </w:numPr>
      </w:pPr>
      <w:r>
        <w:rPr>
          <w:b/>
          <w:bCs/>
        </w:rPr>
        <w:t xml:space="preserve">AI licensing is promising but still not fully quantified.</w:t>
      </w:r>
      <w:r>
        <w:t xml:space="preserve"> </w:t>
      </w:r>
      <w:r>
        <w:t xml:space="preserve">The strategic upside is real, but investors should not assume that all announced partnerships immediately translate into recurring, high-margin revenue.</w:t>
      </w:r>
    </w:p>
    <w:p>
      <w:pPr>
        <w:numPr>
          <w:ilvl w:val="0"/>
          <w:numId w:val="1009"/>
        </w:numPr>
      </w:pPr>
      <w:r>
        <w:rPr>
          <w:b/>
          <w:bCs/>
        </w:rPr>
        <w:t xml:space="preserve">Adjusted EPS may differ sharply from GAAP EPS.</w:t>
      </w:r>
      <w:r>
        <w:t xml:space="preserve"> </w:t>
      </w:r>
      <w:r>
        <w:t xml:space="preserve">Restructuring charges, investment revaluations, taxes, legal matters, and noncontrolling interests can all affect the reported result.</w:t>
      </w:r>
    </w:p>
    <w:p>
      <w:r>
        <w:pict>
          <v:rect style="width:0;height:1.5pt" o:hralign="center" o:hrstd="t" o:hr="t"/>
        </w:pict>
      </w:r>
    </w:p>
    <w:bookmarkEnd w:id="25"/>
    <w:bookmarkStart w:id="28" w:name="X699e18c19c7a3de6ee725e8c7b14945df20f08c"/>
    <w:p>
      <w:pPr>
        <w:pStyle w:val="Heading2"/>
      </w:pPr>
      <w:r>
        <w:t xml:space="preserve">Earnings scorecard: what would constitute a good report?</w:t>
      </w:r>
    </w:p>
    <w:bookmarkStart w:id="26" w:name="bullish-outcome"/>
    <w:p>
      <w:pPr>
        <w:pStyle w:val="Heading3"/>
      </w:pPr>
      <w:r>
        <w:t xml:space="preserve">Bullish outcome</w:t>
      </w:r>
    </w:p>
    <w:p>
      <w:pPr>
        <w:pStyle w:val="Compact"/>
        <w:numPr>
          <w:ilvl w:val="0"/>
          <w:numId w:val="1010"/>
        </w:numPr>
      </w:pPr>
      <w:r>
        <w:t xml:space="preserve">Consolidated revenue and EBITDA growth clearly above the Q4 FY25 base;</w:t>
      </w:r>
    </w:p>
    <w:p>
      <w:pPr>
        <w:pStyle w:val="Compact"/>
        <w:numPr>
          <w:ilvl w:val="0"/>
          <w:numId w:val="1010"/>
        </w:numPr>
      </w:pPr>
      <w:r>
        <w:t xml:space="preserve">Dow Jones sustains high-single-digit revenue growth and double-digit EBITDA growth;</w:t>
      </w:r>
    </w:p>
    <w:p>
      <w:pPr>
        <w:pStyle w:val="Compact"/>
        <w:numPr>
          <w:ilvl w:val="0"/>
          <w:numId w:val="1010"/>
        </w:numPr>
      </w:pPr>
      <w:r>
        <w:t xml:space="preserve">Realtor.com remains near double-digit growth, with strong yield and lead trends;</w:t>
      </w:r>
    </w:p>
    <w:p>
      <w:pPr>
        <w:pStyle w:val="Compact"/>
        <w:numPr>
          <w:ilvl w:val="0"/>
          <w:numId w:val="1010"/>
        </w:numPr>
      </w:pPr>
      <w:r>
        <w:t xml:space="preserve">Book Publishing rebounds meaningfully from the weak Q4 FY25 comparison;</w:t>
      </w:r>
    </w:p>
    <w:p>
      <w:pPr>
        <w:pStyle w:val="Compact"/>
        <w:numPr>
          <w:ilvl w:val="0"/>
          <w:numId w:val="1010"/>
        </w:numPr>
      </w:pPr>
      <w:r>
        <w:t xml:space="preserve">Free cash flow rises strongly for the full year as guided;</w:t>
      </w:r>
    </w:p>
    <w:p>
      <w:pPr>
        <w:pStyle w:val="Compact"/>
        <w:numPr>
          <w:ilvl w:val="0"/>
          <w:numId w:val="1010"/>
        </w:numPr>
      </w:pPr>
      <w:r>
        <w:t xml:space="preserve">New AI agreements or initial financial quantification emerge;</w:t>
      </w:r>
    </w:p>
    <w:p>
      <w:pPr>
        <w:pStyle w:val="Compact"/>
        <w:numPr>
          <w:ilvl w:val="0"/>
          <w:numId w:val="1010"/>
        </w:numPr>
      </w:pPr>
      <w:r>
        <w:t xml:space="preserve">Buybacks remain aggressive and fiscal 2027 commentary is constructive.</w:t>
      </w:r>
    </w:p>
    <w:bookmarkEnd w:id="26"/>
    <w:bookmarkStart w:id="27" w:name="more-muted-outcome"/>
    <w:p>
      <w:pPr>
        <w:pStyle w:val="Heading3"/>
      </w:pPr>
      <w:r>
        <w:t xml:space="preserve">More muted outcome</w:t>
      </w:r>
    </w:p>
    <w:p>
      <w:pPr>
        <w:pStyle w:val="Compact"/>
        <w:numPr>
          <w:ilvl w:val="0"/>
          <w:numId w:val="1011"/>
        </w:numPr>
      </w:pPr>
      <w:r>
        <w:t xml:space="preserve">Growth at Dow Jones or Digital Real Estate slows meaningfully;</w:t>
      </w:r>
    </w:p>
    <w:p>
      <w:pPr>
        <w:pStyle w:val="Compact"/>
        <w:numPr>
          <w:ilvl w:val="0"/>
          <w:numId w:val="1011"/>
        </w:numPr>
      </w:pPr>
      <w:r>
        <w:t xml:space="preserve">Realtor.com shows a mortgage-rate-driven reversal in lead or revenue performance;</w:t>
      </w:r>
    </w:p>
    <w:p>
      <w:pPr>
        <w:pStyle w:val="Compact"/>
        <w:numPr>
          <w:ilvl w:val="0"/>
          <w:numId w:val="1011"/>
        </w:numPr>
      </w:pPr>
      <w:r>
        <w:t xml:space="preserve">Book Publishing fails to capitalize on the stronger release slate;</w:t>
      </w:r>
    </w:p>
    <w:p>
      <w:pPr>
        <w:pStyle w:val="Compact"/>
        <w:numPr>
          <w:ilvl w:val="0"/>
          <w:numId w:val="1011"/>
        </w:numPr>
      </w:pPr>
      <w:r>
        <w:t xml:space="preserve">California Post costs and News Media pressure offset gains elsewhere;</w:t>
      </w:r>
    </w:p>
    <w:p>
      <w:pPr>
        <w:pStyle w:val="Compact"/>
        <w:numPr>
          <w:ilvl w:val="0"/>
          <w:numId w:val="1011"/>
        </w:numPr>
      </w:pPr>
      <w:r>
        <w:t xml:space="preserve">Management provides only broad AI commentary without incremental commercial evidence;</w:t>
      </w:r>
    </w:p>
    <w:p>
      <w:pPr>
        <w:pStyle w:val="Compact"/>
        <w:numPr>
          <w:ilvl w:val="0"/>
          <w:numId w:val="1011"/>
        </w:numPr>
      </w:pPr>
      <w:r>
        <w:t xml:space="preserve">Free-cash-flow conversion disappoints after the prior timing explanation.</w:t>
      </w:r>
    </w:p>
    <w:bookmarkEnd w:id="27"/>
    <w:bookmarkEnd w:id="28"/>
    <w:bookmarkStart w:id="29" w:name="bottom-line"/>
    <w:p>
      <w:pPr>
        <w:pStyle w:val="Heading2"/>
      </w:pPr>
      <w:r>
        <w:t xml:space="preserve">Bottom line</w:t>
      </w:r>
    </w:p>
    <w:p>
      <w:pPr>
        <w:pStyle w:val="FirstParagraph"/>
      </w:pPr>
      <w:r>
        <w:t xml:space="preserve">News Corp’s Q4 setup is favorable: the growth businesses are carrying real momentum, the prior-year comparison is manageable, buybacks are substantial, and management has already pointed to a strong fiscal finish. The highest-value proof points will be</w:t>
      </w:r>
      <w:r>
        <w:t xml:space="preserve"> </w:t>
      </w:r>
      <w:r>
        <w:rPr>
          <w:b/>
          <w:bCs/>
        </w:rPr>
        <w:t xml:space="preserve">Dow Jones professional-information growth</w:t>
      </w:r>
      <w:r>
        <w:t xml:space="preserve">,</w:t>
      </w:r>
      <w:r>
        <w:t xml:space="preserve"> </w:t>
      </w:r>
      <w:r>
        <w:rPr>
          <w:b/>
          <w:bCs/>
        </w:rPr>
        <w:t xml:space="preserve">Realtor.com monetization amid housing weakness</w:t>
      </w:r>
      <w:r>
        <w:t xml:space="preserve">,</w:t>
      </w:r>
      <w:r>
        <w:t xml:space="preserve"> </w:t>
      </w:r>
      <w:r>
        <w:rPr>
          <w:b/>
          <w:bCs/>
        </w:rPr>
        <w:t xml:space="preserve">Book Publishing’s Q4 rebound</w:t>
      </w:r>
      <w:r>
        <w:t xml:space="preserve">, and the first tangible signs that AI partnerships are becoming a material revenue stream.</w:t>
      </w:r>
    </w:p>
    <w:p>
      <w:pPr>
        <w:pStyle w:val="BodyText"/>
      </w:pPr>
      <w:r>
        <w:t xml:space="preserve">The report should be judged primarily on the durability of those engines and on fiscal 2027 confidence—not merely on headline EPS.</w:t>
      </w:r>
    </w:p>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2026-08-05T01:06:11Z</dcterms:created>
  <dcterms:modified xsi:type="dcterms:W3CDTF">2026-08-05T01:06:11Z</dcterms:modified>
</cp:coreProperties>
</file>

<file path=docProps/custom.xml><?xml version="1.0" encoding="utf-8"?>
<Properties xmlns="http://schemas.openxmlformats.org/officeDocument/2006/custom-properties" xmlns:vt="http://schemas.openxmlformats.org/officeDocument/2006/docPropsVTypes"/>
</file>