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News Corp (NWS) — Q4 FY2026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News Corporation</w:t>
            </w:r>
          </w:p>
        </w:tc>
      </w:tr>
      <w:tr>
        <w:tc>
          <w:tcPr>
            <w:tcW w:type="dxa" w:w="4320"/>
          </w:tcPr>
          <w:p>
            <w:r>
              <w:rPr>
                <w:rFonts w:ascii="Calibri" w:hAnsi="Calibri"/>
                <w:b/>
                <w:sz w:val="22"/>
              </w:rPr>
              <w:t>Ticker</w:t>
            </w:r>
          </w:p>
        </w:tc>
        <w:tc>
          <w:tcPr>
            <w:tcW w:type="dxa" w:w="4320"/>
          </w:tcPr>
          <w:p>
            <w:r>
              <w:rPr>
                <w:rFonts w:ascii="Calibri" w:hAnsi="Calibri"/>
                <w:sz w:val="22"/>
              </w:rPr>
              <w:t>NWS (NASDAQ)</w:t>
            </w:r>
          </w:p>
        </w:tc>
      </w:tr>
      <w:tr>
        <w:tc>
          <w:tcPr>
            <w:tcW w:type="dxa" w:w="4320"/>
          </w:tcPr>
          <w:p>
            <w:r>
              <w:rPr>
                <w:rFonts w:ascii="Calibri" w:hAnsi="Calibri"/>
                <w:b/>
                <w:sz w:val="22"/>
              </w:rPr>
              <w:t>Reporting Period</w:t>
            </w:r>
          </w:p>
        </w:tc>
        <w:tc>
          <w:tcPr>
            <w:tcW w:type="dxa" w:w="4320"/>
          </w:tcPr>
          <w:p>
            <w:r>
              <w:rPr>
                <w:rFonts w:ascii="Calibri" w:hAnsi="Calibri"/>
                <w:sz w:val="22"/>
              </w:rPr>
              <w:t>Q4 FY2026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August 5, 2026 — 5:00 PM ET</w:t>
            </w:r>
          </w:p>
        </w:tc>
      </w:tr>
      <w:tr>
        <w:tc>
          <w:tcPr>
            <w:tcW w:type="dxa" w:w="4320"/>
          </w:tcPr>
          <w:p>
            <w:r>
              <w:rPr>
                <w:rFonts w:ascii="Calibri" w:hAnsi="Calibri"/>
                <w:b/>
                <w:sz w:val="22"/>
              </w:rPr>
              <w:t>Last Earnings</w:t>
            </w:r>
          </w:p>
        </w:tc>
        <w:tc>
          <w:tcPr>
            <w:tcW w:type="dxa" w:w="4320"/>
          </w:tcPr>
          <w:p>
            <w:r>
              <w:rPr>
                <w:rFonts w:ascii="Calibri" w:hAnsi="Calibri"/>
                <w:sz w:val="22"/>
              </w:rPr>
              <w:t>May 7, 2026 (Q3 FY2026)</w:t>
            </w:r>
          </w:p>
        </w:tc>
      </w:tr>
      <w:tr>
        <w:tc>
          <w:tcPr>
            <w:tcW w:type="dxa" w:w="4320"/>
          </w:tcPr>
          <w:p>
            <w:r>
              <w:rPr>
                <w:rFonts w:ascii="Calibri" w:hAnsi="Calibri"/>
                <w:b/>
                <w:sz w:val="22"/>
              </w:rPr>
              <w:t>Prepared</w:t>
            </w:r>
          </w:p>
        </w:tc>
        <w:tc>
          <w:tcPr>
            <w:tcW w:type="dxa" w:w="4320"/>
          </w:tcPr>
          <w:p>
            <w:r>
              <w:rPr>
                <w:rFonts w:ascii="Calibri" w:hAnsi="Calibri"/>
                <w:sz w:val="22"/>
              </w:rPr>
              <w:t>August 4, 2026</w:t>
            </w:r>
          </w:p>
        </w:tc>
      </w:tr>
      <w:tr>
        <w:tc>
          <w:tcPr>
            <w:tcW w:type="dxa" w:w="4320"/>
          </w:tcPr>
          <w:p>
            <w:r>
              <w:rPr>
                <w:rFonts w:ascii="Calibri" w:hAnsi="Calibri"/>
                <w:b/>
                <w:sz w:val="22"/>
              </w:rPr>
              <w:t>Sector ETF (Benchmark)</w:t>
            </w:r>
          </w:p>
        </w:tc>
        <w:tc>
          <w:tcPr>
            <w:tcW w:type="dxa" w:w="4320"/>
          </w:tcPr>
          <w:p>
            <w:r>
              <w:rPr>
                <w:rFonts w:ascii="Calibri" w:hAnsi="Calibri"/>
                <w:sz w:val="22"/>
              </w:rPr>
              <w:t>XLC — Communication Services Select Sector SPDR</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The setup favors a beat — consensus is a manageable bar, management explicitly guided for “strong results” in Q4 and confirmed record full-year profitability is on track, and the biggest swing factor is whether AI licensing revenue contribution and Dow Jones B2B momentum can offset a still-depressed U.S. housing market at Realtor.com.</w:t>
      </w:r>
    </w:p>
    <w:p>
      <w:r>
        <w:rPr>
          <w:rFonts w:ascii="Calibri" w:hAnsi="Calibri"/>
          <w:color w:val="525866"/>
          <w:sz w:val="22"/>
        </w:rPr>
        <w:t xml:space="preserve">Heading into Q4 FY2026, News Corp carries meaningful momentum: management guided explicitly for “strong results” in the fourth quarter on the May 7 call, citing strength “seen thus far” in Q4, and the company is on its twelfth consecutive quarter of profitability growth on continuing operations. </w:t>
      </w:r>
      <w:r>
        <w:rPr>
          <w:rFonts w:ascii="Calibri" w:hAnsi="Calibri"/>
          <w:b/>
          <w:color w:val="525866"/>
          <w:sz w:val="22"/>
        </w:rPr>
        <w:t>Consensus EBITDA of ~$373M implies roughly 16% year-over-year growth</w:t>
      </w:r>
      <w:r>
        <w:rPr>
          <w:rFonts w:ascii="Calibri" w:hAnsi="Calibri"/>
          <w:color w:val="525866"/>
          <w:sz w:val="22"/>
        </w:rPr>
        <w:t xml:space="preserve"> — a high bar in absolute terms but consistent with the trajectory management has been delivering and guiding toward. Estimate revisions have been modestly negative since the Q3 print (operating EPS drifted from $0.231 to $0.229 for Q4), suggesting the street has not aggressively raised the bar, which is a constructive setup. </w:t>
      </w:r>
      <w:r>
        <w:rPr>
          <w:rFonts w:ascii="Calibri" w:hAnsi="Calibri"/>
          <w:b/>
          <w:color w:val="525866"/>
          <w:sz w:val="22"/>
        </w:rPr>
        <w:t>The stock has rallied ~6% since last earnings</w:t>
      </w:r>
      <w:r>
        <w:rPr>
          <w:rFonts w:ascii="Calibri" w:hAnsi="Calibri"/>
          <w:color w:val="525866"/>
          <w:sz w:val="22"/>
        </w:rPr>
        <w:t xml:space="preserve"> (from $30.85 to ~$31.79 as of August 3), modestly outperforming the S&amp;P 500 but lagging XLC, implying the market has partially priced in continued execution without fully re-rating the name. The key wildcard is the pace and size of incremental AI licensing deals — management flagged “several further” negotiations in progress on the Q3 call, and any announced deal or revenue contribution disclosure could be a meaningful positive surprise, while a housing market that has seen mortgage rates re-accelerate to ~6.85% (highest in over a year per Redfin, July 30) represents the primary downside risk to Realtor.com’s Q4 trajectory.</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manageable but not easy bar — EBITDA growth of ~16% YoY is consistent with management’s “record profitability” guidance, and </w:t>
      </w:r>
    </w:p>
    <w:p>
      <w:r>
        <w:rPr>
          <w:rFonts w:ascii="Calibri" w:hAnsi="Calibri"/>
          <w:b/>
          <w:color w:val="525866"/>
          <w:sz w:val="22"/>
        </w:rPr>
        <w:t>Dow Jones revenue and Professional Information Business growth are the bigger swing factors</w:t>
      </w:r>
      <w:r>
        <w:rPr>
          <w:rFonts w:ascii="Calibri" w:hAnsi="Calibri"/>
          <w:color w:val="525866"/>
          <w:sz w:val="22"/>
        </w:rPr>
        <w:t>, while Realtor.com faces a tougher macro backdrop with mortgage rates re-accelerating into quarter-end.</w:t>
      </w:r>
    </w:p>
    <w:p>
      <w:pPr>
        <w:pStyle w:val="Heading2"/>
      </w:pPr>
      <w:r>
        <w:rPr>
          <w:rFonts w:ascii="Calibri" w:hAnsi="Calibri"/>
          <w:b/>
          <w:color w:val="3B4259"/>
          <w:sz w:val="28"/>
        </w:rPr>
        <w:t>Table 1 — Current Quarter Snapshot (Q4 FY2026, ending June 30,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Q3 FY2026 Actual (Last Quarter)</w:t>
            </w:r>
          </w:p>
        </w:tc>
        <w:tc>
          <w:tcPr>
            <w:tcW w:type="dxa" w:w="1234"/>
            <w:shd w:val="clear" w:color="auto" w:fill="3B4259"/>
          </w:tcPr>
          <w:p>
            <w:r>
              <w:rPr>
                <w:rFonts w:ascii="Calibri" w:hAnsi="Calibri"/>
                <w:b/>
                <w:color w:val="FFFFFF"/>
                <w:sz w:val="22"/>
              </w:rPr>
              <w:t>Q4 FY2025 Actual (Prior Year Period)</w:t>
            </w:r>
          </w:p>
        </w:tc>
        <w:tc>
          <w:tcPr>
            <w:tcW w:type="dxa" w:w="1234"/>
            <w:shd w:val="clear" w:color="auto" w:fill="3B4259"/>
          </w:tcPr>
          <w:p>
            <w:r>
              <w:rPr>
                <w:rFonts w:ascii="Calibri" w:hAnsi="Calibri"/>
                <w:b/>
                <w:color w:val="FFFFFF"/>
                <w:sz w:val="22"/>
              </w:rPr>
              <w:t>Q4 FY2026 Consensus Estimate</w:t>
            </w:r>
          </w:p>
        </w:tc>
        <w:tc>
          <w:tcPr>
            <w:tcW w:type="dxa" w:w="1234"/>
            <w:shd w:val="clear" w:color="auto" w:fill="3B4259"/>
          </w:tcPr>
          <w:p>
            <w:r>
              <w:rPr>
                <w:rFonts w:ascii="Calibri" w:hAnsi="Calibri"/>
                <w:b/>
                <w:color w:val="FFFFFF"/>
                <w:sz w:val="22"/>
              </w:rPr>
              <w:t>YoY Change (Est. vs. PY)</w:t>
            </w:r>
          </w:p>
        </w:tc>
        <w:tc>
          <w:tcPr>
            <w:tcW w:type="dxa" w:w="1234"/>
            <w:shd w:val="clear" w:color="auto" w:fill="3B4259"/>
          </w:tcPr>
          <w:p>
            <w:r>
              <w:rPr>
                <w:rFonts w:ascii="Calibri" w:hAnsi="Calibri"/>
                <w:b/>
                <w:color w:val="FFFFFF"/>
                <w:sz w:val="22"/>
              </w:rPr>
              <w:t>Management Guidance (Q4 FY2026)</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Total Revenues ($M)</w:t>
            </w:r>
          </w:p>
        </w:tc>
        <w:tc>
          <w:tcPr>
            <w:tcW w:type="dxa" w:w="1234"/>
          </w:tcPr>
          <w:p>
            <w:r>
              <w:rPr>
                <w:rFonts w:ascii="Calibri" w:hAnsi="Calibri"/>
                <w:sz w:val="22"/>
              </w:rPr>
              <w:t>$2,185M</w:t>
            </w:r>
          </w:p>
        </w:tc>
        <w:tc>
          <w:tcPr>
            <w:tcW w:type="dxa" w:w="1234"/>
          </w:tcPr>
          <w:p>
            <w:r>
              <w:rPr>
                <w:rFonts w:ascii="Calibri" w:hAnsi="Calibri"/>
                <w:sz w:val="22"/>
              </w:rPr>
              <w:t>$2,109M</w:t>
            </w:r>
          </w:p>
        </w:tc>
        <w:tc>
          <w:tcPr>
            <w:tcW w:type="dxa" w:w="1234"/>
          </w:tcPr>
          <w:p>
            <w:r>
              <w:rPr>
                <w:rFonts w:ascii="Calibri" w:hAnsi="Calibri"/>
                <w:sz w:val="22"/>
              </w:rPr>
              <w:t>$2,246M</w:t>
            </w:r>
          </w:p>
        </w:tc>
        <w:tc>
          <w:tcPr>
            <w:tcW w:type="dxa" w:w="1234"/>
          </w:tcPr>
          <w:p>
            <w:r>
              <w:rPr>
                <w:rFonts w:ascii="Calibri" w:hAnsi="Calibri"/>
                <w:sz w:val="22"/>
              </w:rPr>
              <w:t>+6.5%</w:t>
            </w:r>
          </w:p>
        </w:tc>
        <w:tc>
          <w:tcPr>
            <w:tcW w:type="dxa" w:w="1234"/>
          </w:tcPr>
          <w:p>
            <w:r>
              <w:rPr>
                <w:rFonts w:ascii="Calibri" w:hAnsi="Calibri"/>
                <w:sz w:val="22"/>
              </w:rPr>
              <w:t>“Strong results”; record profitability on track</w:t>
            </w:r>
          </w:p>
        </w:tc>
        <w:tc>
          <w:tcPr>
            <w:tcW w:type="dxa" w:w="1234"/>
          </w:tcPr>
          <w:p>
            <w:r>
              <w:rPr>
                <w:rFonts w:ascii="Calibri" w:hAnsi="Calibri"/>
                <w:sz w:val="22"/>
              </w:rPr>
              <w:t>N/A — qualitative only</w:t>
            </w:r>
          </w:p>
        </w:tc>
      </w:tr>
      <w:tr>
        <w:tc>
          <w:tcPr>
            <w:tcW w:type="dxa" w:w="1234"/>
          </w:tcPr>
          <w:p>
            <w:r>
              <w:rPr>
                <w:rFonts w:ascii="Calibri" w:hAnsi="Calibri"/>
                <w:sz w:val="22"/>
              </w:rPr>
              <w:t>Total Segment EBITDA ($M)</w:t>
            </w:r>
          </w:p>
        </w:tc>
        <w:tc>
          <w:tcPr>
            <w:tcW w:type="dxa" w:w="1234"/>
          </w:tcPr>
          <w:p>
            <w:r>
              <w:rPr>
                <w:rFonts w:ascii="Calibri" w:hAnsi="Calibri"/>
                <w:sz w:val="22"/>
              </w:rPr>
              <w:t>$343M</w:t>
            </w:r>
          </w:p>
        </w:tc>
        <w:tc>
          <w:tcPr>
            <w:tcW w:type="dxa" w:w="1234"/>
          </w:tcPr>
          <w:p>
            <w:r>
              <w:rPr>
                <w:rFonts w:ascii="Calibri" w:hAnsi="Calibri"/>
                <w:sz w:val="22"/>
              </w:rPr>
              <w:t>$322M</w:t>
            </w:r>
          </w:p>
        </w:tc>
        <w:tc>
          <w:tcPr>
            <w:tcW w:type="dxa" w:w="1234"/>
          </w:tcPr>
          <w:p>
            <w:r>
              <w:rPr>
                <w:rFonts w:ascii="Calibri" w:hAnsi="Calibri"/>
                <w:sz w:val="22"/>
              </w:rPr>
              <w:t>$373M</w:t>
            </w:r>
          </w:p>
        </w:tc>
        <w:tc>
          <w:tcPr>
            <w:tcW w:type="dxa" w:w="1234"/>
          </w:tcPr>
          <w:p>
            <w:r>
              <w:rPr>
                <w:rFonts w:ascii="Calibri" w:hAnsi="Calibri"/>
                <w:sz w:val="22"/>
              </w:rPr>
              <w:t>+15.8%</w:t>
            </w:r>
          </w:p>
        </w:tc>
        <w:tc>
          <w:tcPr>
            <w:tcW w:type="dxa" w:w="1234"/>
          </w:tcPr>
          <w:p>
            <w:r>
              <w:rPr>
                <w:rFonts w:ascii="Calibri" w:hAnsi="Calibri"/>
                <w:sz w:val="22"/>
              </w:rPr>
              <w:t>Record full-year profitability; strong Q4 trends</w:t>
            </w:r>
          </w:p>
        </w:tc>
        <w:tc>
          <w:tcPr>
            <w:tcW w:type="dxa" w:w="1234"/>
          </w:tcPr>
          <w:p>
            <w:r>
              <w:rPr>
                <w:rFonts w:ascii="Calibri" w:hAnsi="Calibri"/>
                <w:sz w:val="22"/>
              </w:rPr>
              <w:t>N/A — qualitative only</w:t>
            </w:r>
          </w:p>
        </w:tc>
      </w:tr>
      <w:tr>
        <w:tc>
          <w:tcPr>
            <w:tcW w:type="dxa" w:w="1234"/>
          </w:tcPr>
          <w:p>
            <w:r>
              <w:rPr>
                <w:rFonts w:ascii="Calibri" w:hAnsi="Calibri"/>
                <w:sz w:val="22"/>
              </w:rPr>
              <w:t>Operating EPS (Diluted, $)</w:t>
            </w:r>
          </w:p>
        </w:tc>
        <w:tc>
          <w:tcPr>
            <w:tcW w:type="dxa" w:w="1234"/>
          </w:tcPr>
          <w:p>
            <w:r>
              <w:rPr>
                <w:rFonts w:ascii="Calibri" w:hAnsi="Calibri"/>
                <w:sz w:val="22"/>
              </w:rPr>
              <w:t>$0.21</w:t>
            </w:r>
          </w:p>
        </w:tc>
        <w:tc>
          <w:tcPr>
            <w:tcW w:type="dxa" w:w="1234"/>
          </w:tcPr>
          <w:p>
            <w:r>
              <w:rPr>
                <w:rFonts w:ascii="Calibri" w:hAnsi="Calibri"/>
                <w:sz w:val="22"/>
              </w:rPr>
              <w:t>$0.186</w:t>
            </w:r>
          </w:p>
        </w:tc>
        <w:tc>
          <w:tcPr>
            <w:tcW w:type="dxa" w:w="1234"/>
          </w:tcPr>
          <w:p>
            <w:r>
              <w:rPr>
                <w:rFonts w:ascii="Calibri" w:hAnsi="Calibri"/>
                <w:sz w:val="22"/>
              </w:rPr>
              <w:t>$0.229</w:t>
            </w:r>
          </w:p>
        </w:tc>
        <w:tc>
          <w:tcPr>
            <w:tcW w:type="dxa" w:w="1234"/>
          </w:tcPr>
          <w:p>
            <w:r>
              <w:rPr>
                <w:rFonts w:ascii="Calibri" w:hAnsi="Calibri"/>
                <w:sz w:val="22"/>
              </w:rPr>
              <w:t>+23.1%</w:t>
            </w:r>
          </w:p>
        </w:tc>
        <w:tc>
          <w:tcPr>
            <w:tcW w:type="dxa" w:w="1234"/>
          </w:tcPr>
          <w:p>
            <w:r>
              <w:rPr>
                <w:rFonts w:ascii="Calibri" w:hAnsi="Calibri"/>
                <w:sz w:val="22"/>
              </w:rPr>
              <w:t>Implied by record profitability guidance</w:t>
            </w:r>
          </w:p>
        </w:tc>
        <w:tc>
          <w:tcPr>
            <w:tcW w:type="dxa" w:w="1234"/>
          </w:tcPr>
          <w:p>
            <w:r>
              <w:rPr>
                <w:rFonts w:ascii="Calibri" w:hAnsi="Calibri"/>
                <w:sz w:val="22"/>
              </w:rPr>
              <w:t>N/A — qualitative only</w:t>
            </w:r>
          </w:p>
        </w:tc>
      </w:tr>
      <w:tr>
        <w:tc>
          <w:tcPr>
            <w:tcW w:type="dxa" w:w="1234"/>
          </w:tcPr>
          <w:p>
            <w:r>
              <w:rPr>
                <w:rFonts w:ascii="Calibri" w:hAnsi="Calibri"/>
                <w:sz w:val="22"/>
              </w:rPr>
              <w:t>Dow Jones Revenue ($M)</w:t>
            </w:r>
          </w:p>
        </w:tc>
        <w:tc>
          <w:tcPr>
            <w:tcW w:type="dxa" w:w="1234"/>
          </w:tcPr>
          <w:p>
            <w:r>
              <w:rPr>
                <w:rFonts w:ascii="Calibri" w:hAnsi="Calibri"/>
                <w:sz w:val="22"/>
              </w:rPr>
              <w:t>$619M</w:t>
            </w:r>
          </w:p>
        </w:tc>
        <w:tc>
          <w:tcPr>
            <w:tcW w:type="dxa" w:w="1234"/>
          </w:tcPr>
          <w:p>
            <w:r>
              <w:rPr>
                <w:rFonts w:ascii="Calibri" w:hAnsi="Calibri"/>
                <w:sz w:val="22"/>
              </w:rPr>
              <w:t>$604M</w:t>
            </w:r>
          </w:p>
        </w:tc>
        <w:tc>
          <w:tcPr>
            <w:tcW w:type="dxa" w:w="1234"/>
          </w:tcPr>
          <w:p>
            <w:r>
              <w:rPr>
                <w:rFonts w:ascii="Calibri" w:hAnsi="Calibri"/>
                <w:sz w:val="22"/>
              </w:rPr>
              <w:t>$640M</w:t>
            </w:r>
          </w:p>
        </w:tc>
        <w:tc>
          <w:tcPr>
            <w:tcW w:type="dxa" w:w="1234"/>
          </w:tcPr>
          <w:p>
            <w:r>
              <w:rPr>
                <w:rFonts w:ascii="Calibri" w:hAnsi="Calibri"/>
                <w:sz w:val="22"/>
              </w:rPr>
              <w:t>+6.0%</w:t>
            </w:r>
          </w:p>
        </w:tc>
        <w:tc>
          <w:tcPr>
            <w:tcW w:type="dxa" w:w="1234"/>
          </w:tcPr>
          <w:p>
            <w:r>
              <w:rPr>
                <w:rFonts w:ascii="Calibri" w:hAnsi="Calibri"/>
                <w:sz w:val="22"/>
              </w:rPr>
              <w:t>“Continued strong revenue performance and improved margins”; net adds notably higher in Q4</w:t>
            </w:r>
          </w:p>
        </w:tc>
        <w:tc>
          <w:tcPr>
            <w:tcW w:type="dxa" w:w="1234"/>
          </w:tcPr>
          <w:p>
            <w:r>
              <w:rPr>
                <w:rFonts w:ascii="Calibri" w:hAnsi="Calibri"/>
                <w:sz w:val="22"/>
              </w:rPr>
              <w:t>N/A — qualitative only</w:t>
            </w:r>
          </w:p>
        </w:tc>
      </w:tr>
      <w:tr>
        <w:tc>
          <w:tcPr>
            <w:tcW w:type="dxa" w:w="1234"/>
          </w:tcPr>
          <w:p>
            <w:r>
              <w:rPr>
                <w:rFonts w:ascii="Calibri" w:hAnsi="Calibri"/>
                <w:sz w:val="22"/>
              </w:rPr>
              <w:t>Professional Information Business Revenue ($M)</w:t>
            </w:r>
          </w:p>
        </w:tc>
        <w:tc>
          <w:tcPr>
            <w:tcW w:type="dxa" w:w="1234"/>
          </w:tcPr>
          <w:p>
            <w:r>
              <w:rPr>
                <w:rFonts w:ascii="Calibri" w:hAnsi="Calibri"/>
                <w:sz w:val="22"/>
              </w:rPr>
              <w:t>$250M</w:t>
            </w:r>
          </w:p>
        </w:tc>
        <w:tc>
          <w:tcPr>
            <w:tcW w:type="dxa" w:w="1234"/>
          </w:tcPr>
          <w:p>
            <w:r>
              <w:rPr>
                <w:rFonts w:ascii="Calibri" w:hAnsi="Calibri"/>
                <w:sz w:val="22"/>
              </w:rPr>
              <w:t>$238M</w:t>
            </w:r>
          </w:p>
        </w:tc>
        <w:tc>
          <w:tcPr>
            <w:tcW w:type="dxa" w:w="1234"/>
          </w:tcPr>
          <w:p>
            <w:r>
              <w:rPr>
                <w:rFonts w:ascii="Calibri" w:hAnsi="Calibri"/>
                <w:sz w:val="22"/>
              </w:rPr>
              <w:t>$257M</w:t>
            </w:r>
          </w:p>
        </w:tc>
        <w:tc>
          <w:tcPr>
            <w:tcW w:type="dxa" w:w="1234"/>
          </w:tcPr>
          <w:p>
            <w:r>
              <w:rPr>
                <w:rFonts w:ascii="Calibri" w:hAnsi="Calibri"/>
                <w:sz w:val="22"/>
              </w:rPr>
              <w:t>+7.9%</w:t>
            </w:r>
          </w:p>
        </w:tc>
        <w:tc>
          <w:tcPr>
            <w:tcW w:type="dxa" w:w="1234"/>
          </w:tcPr>
          <w:p>
            <w:r>
              <w:rPr>
                <w:rFonts w:ascii="Calibri" w:hAnsi="Calibri"/>
                <w:sz w:val="22"/>
              </w:rPr>
              <w:t>Strong growth in Risk &amp; Compliance and Dow Jones Energy</w:t>
            </w:r>
          </w:p>
        </w:tc>
        <w:tc>
          <w:tcPr>
            <w:tcW w:type="dxa" w:w="1234"/>
          </w:tcPr>
          <w:p>
            <w:r>
              <w:rPr>
                <w:rFonts w:ascii="Calibri" w:hAnsi="Calibri"/>
                <w:sz w:val="22"/>
              </w:rPr>
              <w:t>N/A — qualitative only</w:t>
            </w:r>
          </w:p>
        </w:tc>
      </w:tr>
      <w:tr>
        <w:tc>
          <w:tcPr>
            <w:tcW w:type="dxa" w:w="1234"/>
          </w:tcPr>
          <w:p>
            <w:r>
              <w:rPr>
                <w:rFonts w:ascii="Calibri" w:hAnsi="Calibri"/>
                <w:sz w:val="22"/>
              </w:rPr>
              <w:t>Digital Real Estate Services Revenue ($M)</w:t>
            </w:r>
          </w:p>
        </w:tc>
        <w:tc>
          <w:tcPr>
            <w:tcW w:type="dxa" w:w="1234"/>
          </w:tcPr>
          <w:p>
            <w:r>
              <w:rPr>
                <w:rFonts w:ascii="Calibri" w:hAnsi="Calibri"/>
                <w:sz w:val="22"/>
              </w:rPr>
              <w:t>$473M</w:t>
            </w:r>
          </w:p>
        </w:tc>
        <w:tc>
          <w:tcPr>
            <w:tcW w:type="dxa" w:w="1234"/>
          </w:tcPr>
          <w:p>
            <w:r>
              <w:rPr>
                <w:rFonts w:ascii="Calibri" w:hAnsi="Calibri"/>
                <w:sz w:val="22"/>
              </w:rPr>
              <w:t>$466M</w:t>
            </w:r>
          </w:p>
        </w:tc>
        <w:tc>
          <w:tcPr>
            <w:tcW w:type="dxa" w:w="1234"/>
          </w:tcPr>
          <w:p>
            <w:r>
              <w:rPr>
                <w:rFonts w:ascii="Calibri" w:hAnsi="Calibri"/>
                <w:sz w:val="22"/>
              </w:rPr>
              <w:t>$536M</w:t>
            </w:r>
          </w:p>
        </w:tc>
        <w:tc>
          <w:tcPr>
            <w:tcW w:type="dxa" w:w="1234"/>
          </w:tcPr>
          <w:p>
            <w:r>
              <w:rPr>
                <w:rFonts w:ascii="Calibri" w:hAnsi="Calibri"/>
                <w:sz w:val="22"/>
              </w:rPr>
              <w:t>+15.1%</w:t>
            </w:r>
          </w:p>
        </w:tc>
        <w:tc>
          <w:tcPr>
            <w:tcW w:type="dxa" w:w="1234"/>
          </w:tcPr>
          <w:p>
            <w:r>
              <w:rPr>
                <w:rFonts w:ascii="Calibri" w:hAnsi="Calibri"/>
                <w:sz w:val="22"/>
              </w:rPr>
              <w:t>Continued revenue improvement; housing recovery may be impacted by rising mortgage rates</w:t>
            </w:r>
          </w:p>
        </w:tc>
        <w:tc>
          <w:tcPr>
            <w:tcW w:type="dxa" w:w="1234"/>
          </w:tcPr>
          <w:p>
            <w:r>
              <w:rPr>
                <w:rFonts w:ascii="Calibri" w:hAnsi="Calibri"/>
                <w:sz w:val="22"/>
              </w:rPr>
              <w:t>N/A — qualitative only</w:t>
            </w:r>
          </w:p>
        </w:tc>
      </w:tr>
      <w:tr>
        <w:tc>
          <w:tcPr>
            <w:tcW w:type="dxa" w:w="1234"/>
          </w:tcPr>
          <w:p>
            <w:r>
              <w:rPr>
                <w:rFonts w:ascii="Calibri" w:hAnsi="Calibri"/>
                <w:sz w:val="22"/>
              </w:rPr>
              <w:t>Move / Realtor.com Revenue ($M)</w:t>
            </w:r>
          </w:p>
        </w:tc>
        <w:tc>
          <w:tcPr>
            <w:tcW w:type="dxa" w:w="1234"/>
          </w:tcPr>
          <w:p>
            <w:r>
              <w:rPr>
                <w:rFonts w:ascii="Calibri" w:hAnsi="Calibri"/>
                <w:sz w:val="22"/>
              </w:rPr>
              <w:t>$148M</w:t>
            </w:r>
          </w:p>
        </w:tc>
        <w:tc>
          <w:tcPr>
            <w:tcW w:type="dxa" w:w="1234"/>
          </w:tcPr>
          <w:p>
            <w:r>
              <w:rPr>
                <w:rFonts w:ascii="Calibri" w:hAnsi="Calibri"/>
                <w:sz w:val="22"/>
              </w:rPr>
              <w:t>$148M</w:t>
            </w:r>
          </w:p>
        </w:tc>
        <w:tc>
          <w:tcPr>
            <w:tcW w:type="dxa" w:w="1234"/>
          </w:tcPr>
          <w:p>
            <w:r>
              <w:rPr>
                <w:rFonts w:ascii="Calibri" w:hAnsi="Calibri"/>
                <w:sz w:val="22"/>
              </w:rPr>
              <w:t>$163M</w:t>
            </w:r>
          </w:p>
        </w:tc>
        <w:tc>
          <w:tcPr>
            <w:tcW w:type="dxa" w:w="1234"/>
          </w:tcPr>
          <w:p>
            <w:r>
              <w:rPr>
                <w:rFonts w:ascii="Calibri" w:hAnsi="Calibri"/>
                <w:sz w:val="22"/>
              </w:rPr>
              <w:t>+10.1%</w:t>
            </w:r>
          </w:p>
        </w:tc>
        <w:tc>
          <w:tcPr>
            <w:tcW w:type="dxa" w:w="1234"/>
          </w:tcPr>
          <w:p>
            <w:r>
              <w:rPr>
                <w:rFonts w:ascii="Calibri" w:hAnsi="Calibri"/>
                <w:sz w:val="22"/>
              </w:rPr>
              <w:t>Continued revenue improvement; mortgage rate headwind flagged</w:t>
            </w:r>
          </w:p>
        </w:tc>
        <w:tc>
          <w:tcPr>
            <w:tcW w:type="dxa" w:w="1234"/>
          </w:tcPr>
          <w:p>
            <w:r>
              <w:rPr>
                <w:rFonts w:ascii="Calibri" w:hAnsi="Calibri"/>
                <w:sz w:val="22"/>
              </w:rPr>
              <w:t>N/A — qualitative only</w:t>
            </w:r>
          </w:p>
        </w:tc>
      </w:tr>
      <w:tr>
        <w:tc>
          <w:tcPr>
            <w:tcW w:type="dxa" w:w="1234"/>
          </w:tcPr>
          <w:p>
            <w:r>
              <w:rPr>
                <w:rFonts w:ascii="Calibri" w:hAnsi="Calibri"/>
                <w:sz w:val="22"/>
              </w:rPr>
              <w:t>Book Publishing Revenue ($M)</w:t>
            </w:r>
          </w:p>
        </w:tc>
        <w:tc>
          <w:tcPr>
            <w:tcW w:type="dxa" w:w="1234"/>
          </w:tcPr>
          <w:p>
            <w:r>
              <w:rPr>
                <w:rFonts w:ascii="Calibri" w:hAnsi="Calibri"/>
                <w:sz w:val="22"/>
              </w:rPr>
              <w:t>$555M</w:t>
            </w:r>
          </w:p>
        </w:tc>
        <w:tc>
          <w:tcPr>
            <w:tcW w:type="dxa" w:w="1234"/>
          </w:tcPr>
          <w:p>
            <w:r>
              <w:rPr>
                <w:rFonts w:ascii="Calibri" w:hAnsi="Calibri"/>
                <w:sz w:val="22"/>
              </w:rPr>
              <w:t>$494M</w:t>
            </w:r>
          </w:p>
        </w:tc>
        <w:tc>
          <w:tcPr>
            <w:tcW w:type="dxa" w:w="1234"/>
          </w:tcPr>
          <w:p>
            <w:r>
              <w:rPr>
                <w:rFonts w:ascii="Calibri" w:hAnsi="Calibri"/>
                <w:sz w:val="22"/>
              </w:rPr>
              <w:t>$515M</w:t>
            </w:r>
          </w:p>
        </w:tc>
        <w:tc>
          <w:tcPr>
            <w:tcW w:type="dxa" w:w="1234"/>
          </w:tcPr>
          <w:p>
            <w:r>
              <w:rPr>
                <w:rFonts w:ascii="Calibri" w:hAnsi="Calibri"/>
                <w:sz w:val="22"/>
              </w:rPr>
              <w:t>+4.3%</w:t>
            </w:r>
          </w:p>
        </w:tc>
        <w:tc>
          <w:tcPr>
            <w:tcW w:type="dxa" w:w="1234"/>
          </w:tcPr>
          <w:p>
            <w:r>
              <w:rPr>
                <w:rFonts w:ascii="Calibri" w:hAnsi="Calibri"/>
                <w:sz w:val="22"/>
              </w:rPr>
              <w:t>Stronger frontlist (JD Vance’s Communion, Ann Patchett, Alex Aster); favorable trends</w:t>
            </w:r>
          </w:p>
        </w:tc>
        <w:tc>
          <w:tcPr>
            <w:tcW w:type="dxa" w:w="1234"/>
          </w:tcPr>
          <w:p>
            <w:r>
              <w:rPr>
                <w:rFonts w:ascii="Calibri" w:hAnsi="Calibri"/>
                <w:sz w:val="22"/>
              </w:rPr>
              <w:t>N/A — qualitative only</w:t>
            </w:r>
          </w:p>
        </w:tc>
      </w:tr>
    </w:tbl>
    <w:p>
      <w:r>
        <w:rPr>
          <w:rFonts w:ascii="Calibri" w:hAnsi="Calibri"/>
          <w:i/>
          <w:color w:val="525866"/>
          <w:sz w:val="22"/>
        </w:rPr>
        <w:t>Source: Visible Alpha Consensus and Actuals Data. Actuals from Q3 FY2026 earnings release (May 7, 2026). Q4 FY2026 consensus as of August 4, 2026. Prior year actuals (Q4 FY2025) from Visible Alpha. Management guidance is qualitative only as stated on the Q3 FY2026 earnings call.</w:t>
      </w:r>
    </w:p>
    <w:p>
      <w:pPr>
        <w:pStyle w:val="Heading2"/>
      </w:pPr>
      <w:r>
        <w:rPr>
          <w:rFonts w:ascii="Calibri" w:hAnsi="Calibri"/>
          <w:b/>
          <w:color w:val="3B4259"/>
          <w:sz w:val="28"/>
        </w:rPr>
        <w:t>Table 2 — Beat / Miss History (Last 8 Quarters, Top 2 KPIs)</w:t>
      </w:r>
    </w:p>
    <w:p>
      <w:r>
        <w:rPr>
          <w:rFonts w:ascii="Calibri" w:hAnsi="Calibri"/>
          <w:b/>
          <w:color w:val="525866"/>
          <w:sz w:val="22"/>
        </w:rPr>
        <w:t xml:space="preserve">Top 2 KPIs: </w:t>
      </w:r>
      <w:r>
        <w:rPr>
          <w:rFonts w:ascii="Calibri" w:hAnsi="Calibri"/>
          <w:color w:val="525866"/>
          <w:sz w:val="22"/>
        </w:rPr>
        <w:t>Total Segment EBITDA and Dow Jones Revenue (the two metrics most frequently questioned by analysts and most directly tied to management’s transformation narrative).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Q3 FY2026 (Mar 2026)</w:t>
            </w:r>
          </w:p>
        </w:tc>
        <w:tc>
          <w:tcPr>
            <w:tcW w:type="dxa" w:w="1440"/>
          </w:tcPr>
          <w:p>
            <w:r>
              <w:rPr>
                <w:rFonts w:ascii="Calibri" w:hAnsi="Calibri"/>
                <w:sz w:val="22"/>
              </w:rPr>
              <w:t>Total Segment EBITDA</w:t>
            </w:r>
          </w:p>
        </w:tc>
        <w:tc>
          <w:tcPr>
            <w:tcW w:type="dxa" w:w="1440"/>
          </w:tcPr>
          <w:p>
            <w:r>
              <w:rPr>
                <w:rFonts w:ascii="Calibri" w:hAnsi="Calibri"/>
                <w:sz w:val="22"/>
              </w:rPr>
              <w:t>$343M</w:t>
            </w:r>
          </w:p>
        </w:tc>
        <w:tc>
          <w:tcPr>
            <w:tcW w:type="dxa" w:w="1440"/>
          </w:tcPr>
          <w:p>
            <w:r>
              <w:rPr>
                <w:rFonts w:ascii="Calibri" w:hAnsi="Calibri"/>
                <w:sz w:val="22"/>
              </w:rPr>
              <w:t>$331M</w:t>
            </w:r>
          </w:p>
        </w:tc>
        <w:tc>
          <w:tcPr>
            <w:tcW w:type="dxa" w:w="1440"/>
          </w:tcPr>
          <w:p>
            <w:r>
              <w:rPr>
                <w:rFonts w:ascii="Calibri" w:hAnsi="Calibri"/>
                <w:sz w:val="22"/>
              </w:rPr>
              <w:t>+3.6%</w:t>
            </w:r>
          </w:p>
        </w:tc>
        <w:tc>
          <w:tcPr>
            <w:tcW w:type="dxa" w:w="1440"/>
          </w:tcPr>
          <w:p>
            <w:r>
              <w:rPr>
                <w:rFonts w:ascii="Calibri" w:hAnsi="Calibri"/>
                <w:b/>
                <w:color w:val="30A46C"/>
                <w:sz w:val="22"/>
              </w:rPr>
              <w:t>Beat</w:t>
            </w:r>
          </w:p>
        </w:tc>
      </w:tr>
      <w:tr>
        <w:tc>
          <w:tcPr>
            <w:tcW w:type="dxa" w:w="1440"/>
          </w:tcPr>
          <w:p>
            <w:r>
              <w:rPr>
                <w:rFonts w:ascii="Calibri" w:hAnsi="Calibri"/>
                <w:sz w:val="22"/>
              </w:rPr>
              <w:t>Q3 FY2026 (Mar 2026)</w:t>
            </w:r>
          </w:p>
        </w:tc>
        <w:tc>
          <w:tcPr>
            <w:tcW w:type="dxa" w:w="1440"/>
          </w:tcPr>
          <w:p>
            <w:r>
              <w:rPr>
                <w:rFonts w:ascii="Calibri" w:hAnsi="Calibri"/>
                <w:sz w:val="22"/>
              </w:rPr>
              <w:t>Dow Jones Revenue</w:t>
            </w:r>
          </w:p>
        </w:tc>
        <w:tc>
          <w:tcPr>
            <w:tcW w:type="dxa" w:w="1440"/>
          </w:tcPr>
          <w:p>
            <w:r>
              <w:rPr>
                <w:rFonts w:ascii="Calibri" w:hAnsi="Calibri"/>
                <w:sz w:val="22"/>
              </w:rPr>
              <w:t>$619M</w:t>
            </w:r>
          </w:p>
        </w:tc>
        <w:tc>
          <w:tcPr>
            <w:tcW w:type="dxa" w:w="1440"/>
          </w:tcPr>
          <w:p>
            <w:r>
              <w:rPr>
                <w:rFonts w:ascii="Calibri" w:hAnsi="Calibri"/>
                <w:sz w:val="22"/>
              </w:rPr>
              <w:t>$609M</w:t>
            </w:r>
          </w:p>
        </w:tc>
        <w:tc>
          <w:tcPr>
            <w:tcW w:type="dxa" w:w="1440"/>
          </w:tcPr>
          <w:p>
            <w:r>
              <w:rPr>
                <w:rFonts w:ascii="Calibri" w:hAnsi="Calibri"/>
                <w:sz w:val="22"/>
              </w:rPr>
              <w:t>+1.7%</w:t>
            </w:r>
          </w:p>
        </w:tc>
        <w:tc>
          <w:tcPr>
            <w:tcW w:type="dxa" w:w="1440"/>
          </w:tcPr>
          <w:p>
            <w:r>
              <w:rPr>
                <w:rFonts w:ascii="Calibri" w:hAnsi="Calibri"/>
                <w:b/>
                <w:color w:val="30A46C"/>
                <w:sz w:val="22"/>
              </w:rPr>
              <w:t>Beat</w:t>
            </w:r>
          </w:p>
        </w:tc>
      </w:tr>
      <w:tr>
        <w:tc>
          <w:tcPr>
            <w:tcW w:type="dxa" w:w="1440"/>
          </w:tcPr>
          <w:p>
            <w:r>
              <w:rPr>
                <w:rFonts w:ascii="Calibri" w:hAnsi="Calibri"/>
                <w:sz w:val="22"/>
              </w:rPr>
              <w:t>Q2 FY2026 (Dec 2025)</w:t>
            </w:r>
          </w:p>
        </w:tc>
        <w:tc>
          <w:tcPr>
            <w:tcW w:type="dxa" w:w="1440"/>
          </w:tcPr>
          <w:p>
            <w:r>
              <w:rPr>
                <w:rFonts w:ascii="Calibri" w:hAnsi="Calibri"/>
                <w:sz w:val="22"/>
              </w:rPr>
              <w:t>Total Segment EBITDA</w:t>
            </w:r>
          </w:p>
        </w:tc>
        <w:tc>
          <w:tcPr>
            <w:tcW w:type="dxa" w:w="1440"/>
          </w:tcPr>
          <w:p>
            <w:r>
              <w:rPr>
                <w:rFonts w:ascii="Calibri" w:hAnsi="Calibri"/>
                <w:sz w:val="22"/>
              </w:rPr>
              <w:t>$521M</w:t>
            </w:r>
          </w:p>
        </w:tc>
        <w:tc>
          <w:tcPr>
            <w:tcW w:type="dxa" w:w="1440"/>
          </w:tcPr>
          <w:p>
            <w:r>
              <w:rPr>
                <w:rFonts w:ascii="Calibri" w:hAnsi="Calibri"/>
                <w:sz w:val="22"/>
              </w:rPr>
              <w:t>$492M</w:t>
            </w:r>
          </w:p>
        </w:tc>
        <w:tc>
          <w:tcPr>
            <w:tcW w:type="dxa" w:w="1440"/>
          </w:tcPr>
          <w:p>
            <w:r>
              <w:rPr>
                <w:rFonts w:ascii="Calibri" w:hAnsi="Calibri"/>
                <w:sz w:val="22"/>
              </w:rPr>
              <w:t>+5.9%</w:t>
            </w:r>
          </w:p>
        </w:tc>
        <w:tc>
          <w:tcPr>
            <w:tcW w:type="dxa" w:w="1440"/>
          </w:tcPr>
          <w:p>
            <w:r>
              <w:rPr>
                <w:rFonts w:ascii="Calibri" w:hAnsi="Calibri"/>
                <w:b/>
                <w:color w:val="30A46C"/>
                <w:sz w:val="22"/>
              </w:rPr>
              <w:t>Beat</w:t>
            </w:r>
          </w:p>
        </w:tc>
      </w:tr>
      <w:tr>
        <w:tc>
          <w:tcPr>
            <w:tcW w:type="dxa" w:w="1440"/>
          </w:tcPr>
          <w:p>
            <w:r>
              <w:rPr>
                <w:rFonts w:ascii="Calibri" w:hAnsi="Calibri"/>
                <w:sz w:val="22"/>
              </w:rPr>
              <w:t>Q2 FY2026 (Dec 2025)</w:t>
            </w:r>
          </w:p>
        </w:tc>
        <w:tc>
          <w:tcPr>
            <w:tcW w:type="dxa" w:w="1440"/>
          </w:tcPr>
          <w:p>
            <w:r>
              <w:rPr>
                <w:rFonts w:ascii="Calibri" w:hAnsi="Calibri"/>
                <w:sz w:val="22"/>
              </w:rPr>
              <w:t>Dow Jones Revenue</w:t>
            </w:r>
          </w:p>
        </w:tc>
        <w:tc>
          <w:tcPr>
            <w:tcW w:type="dxa" w:w="1440"/>
          </w:tcPr>
          <w:p>
            <w:r>
              <w:rPr>
                <w:rFonts w:ascii="Calibri" w:hAnsi="Calibri"/>
                <w:sz w:val="22"/>
              </w:rPr>
              <w:t>$648M</w:t>
            </w:r>
          </w:p>
        </w:tc>
        <w:tc>
          <w:tcPr>
            <w:tcW w:type="dxa" w:w="1440"/>
          </w:tcPr>
          <w:p>
            <w:r>
              <w:rPr>
                <w:rFonts w:ascii="Calibri" w:hAnsi="Calibri"/>
                <w:sz w:val="22"/>
              </w:rPr>
              <w:t>$635M</w:t>
            </w:r>
          </w:p>
        </w:tc>
        <w:tc>
          <w:tcPr>
            <w:tcW w:type="dxa" w:w="1440"/>
          </w:tcPr>
          <w:p>
            <w:r>
              <w:rPr>
                <w:rFonts w:ascii="Calibri" w:hAnsi="Calibri"/>
                <w:sz w:val="22"/>
              </w:rPr>
              <w:t>+2.0%</w:t>
            </w:r>
          </w:p>
        </w:tc>
        <w:tc>
          <w:tcPr>
            <w:tcW w:type="dxa" w:w="1440"/>
          </w:tcPr>
          <w:p>
            <w:r>
              <w:rPr>
                <w:rFonts w:ascii="Calibri" w:hAnsi="Calibri"/>
                <w:b/>
                <w:color w:val="30A46C"/>
                <w:sz w:val="22"/>
              </w:rPr>
              <w:t>Beat</w:t>
            </w:r>
          </w:p>
        </w:tc>
      </w:tr>
      <w:tr>
        <w:tc>
          <w:tcPr>
            <w:tcW w:type="dxa" w:w="1440"/>
          </w:tcPr>
          <w:p>
            <w:r>
              <w:rPr>
                <w:rFonts w:ascii="Calibri" w:hAnsi="Calibri"/>
                <w:sz w:val="22"/>
              </w:rPr>
              <w:t>Q1 FY2026 (Sep 2025)</w:t>
            </w:r>
          </w:p>
        </w:tc>
        <w:tc>
          <w:tcPr>
            <w:tcW w:type="dxa" w:w="1440"/>
          </w:tcPr>
          <w:p>
            <w:r>
              <w:rPr>
                <w:rFonts w:ascii="Calibri" w:hAnsi="Calibri"/>
                <w:sz w:val="22"/>
              </w:rPr>
              <w:t>Total Segment EBITDA</w:t>
            </w:r>
          </w:p>
        </w:tc>
        <w:tc>
          <w:tcPr>
            <w:tcW w:type="dxa" w:w="1440"/>
          </w:tcPr>
          <w:p>
            <w:r>
              <w:rPr>
                <w:rFonts w:ascii="Calibri" w:hAnsi="Calibri"/>
                <w:sz w:val="22"/>
              </w:rPr>
              <w:t>$340M</w:t>
            </w:r>
          </w:p>
        </w:tc>
        <w:tc>
          <w:tcPr>
            <w:tcW w:type="dxa" w:w="1440"/>
          </w:tcPr>
          <w:p>
            <w:r>
              <w:rPr>
                <w:rFonts w:ascii="Calibri" w:hAnsi="Calibri"/>
                <w:sz w:val="22"/>
              </w:rPr>
              <w:t>$330M</w:t>
            </w:r>
          </w:p>
        </w:tc>
        <w:tc>
          <w:tcPr>
            <w:tcW w:type="dxa" w:w="1440"/>
          </w:tcPr>
          <w:p>
            <w:r>
              <w:rPr>
                <w:rFonts w:ascii="Calibri" w:hAnsi="Calibri"/>
                <w:sz w:val="22"/>
              </w:rPr>
              <w:t>+3.0%</w:t>
            </w:r>
          </w:p>
        </w:tc>
        <w:tc>
          <w:tcPr>
            <w:tcW w:type="dxa" w:w="1440"/>
          </w:tcPr>
          <w:p>
            <w:r>
              <w:rPr>
                <w:rFonts w:ascii="Calibri" w:hAnsi="Calibri"/>
                <w:b/>
                <w:color w:val="30A46C"/>
                <w:sz w:val="22"/>
              </w:rPr>
              <w:t>Beat</w:t>
            </w:r>
          </w:p>
        </w:tc>
      </w:tr>
      <w:tr>
        <w:tc>
          <w:tcPr>
            <w:tcW w:type="dxa" w:w="1440"/>
          </w:tcPr>
          <w:p>
            <w:r>
              <w:rPr>
                <w:rFonts w:ascii="Calibri" w:hAnsi="Calibri"/>
                <w:sz w:val="22"/>
              </w:rPr>
              <w:t>Q1 FY2026 (Sep 2025)</w:t>
            </w:r>
          </w:p>
        </w:tc>
        <w:tc>
          <w:tcPr>
            <w:tcW w:type="dxa" w:w="1440"/>
          </w:tcPr>
          <w:p>
            <w:r>
              <w:rPr>
                <w:rFonts w:ascii="Calibri" w:hAnsi="Calibri"/>
                <w:sz w:val="22"/>
              </w:rPr>
              <w:t>Dow Jones Revenue</w:t>
            </w:r>
          </w:p>
        </w:tc>
        <w:tc>
          <w:tcPr>
            <w:tcW w:type="dxa" w:w="1440"/>
          </w:tcPr>
          <w:p>
            <w:r>
              <w:rPr>
                <w:rFonts w:ascii="Calibri" w:hAnsi="Calibri"/>
                <w:sz w:val="22"/>
              </w:rPr>
              <w:t>$586M</w:t>
            </w:r>
          </w:p>
        </w:tc>
        <w:tc>
          <w:tcPr>
            <w:tcW w:type="dxa" w:w="1440"/>
          </w:tcPr>
          <w:p>
            <w:r>
              <w:rPr>
                <w:rFonts w:ascii="Calibri" w:hAnsi="Calibri"/>
                <w:sz w:val="22"/>
              </w:rPr>
              <w:t>$586M</w:t>
            </w:r>
          </w:p>
        </w:tc>
        <w:tc>
          <w:tcPr>
            <w:tcW w:type="dxa" w:w="1440"/>
          </w:tcPr>
          <w:p>
            <w:r>
              <w:rPr>
                <w:rFonts w:ascii="Calibri" w:hAnsi="Calibri"/>
                <w:sz w:val="22"/>
              </w:rPr>
              <w:t>0.0%</w:t>
            </w:r>
          </w:p>
        </w:tc>
        <w:tc>
          <w:tcPr>
            <w:tcW w:type="dxa" w:w="1440"/>
          </w:tcPr>
          <w:p>
            <w:r>
              <w:rPr>
                <w:rFonts w:ascii="Calibri" w:hAnsi="Calibri"/>
                <w:sz w:val="22"/>
              </w:rPr>
              <w:t>In-Line</w:t>
            </w:r>
          </w:p>
        </w:tc>
      </w:tr>
      <w:tr>
        <w:tc>
          <w:tcPr>
            <w:tcW w:type="dxa" w:w="1440"/>
          </w:tcPr>
          <w:p>
            <w:r>
              <w:rPr>
                <w:rFonts w:ascii="Calibri" w:hAnsi="Calibri"/>
                <w:sz w:val="22"/>
              </w:rPr>
              <w:t>Q4 FY2025 (Jun 2025)</w:t>
            </w:r>
          </w:p>
        </w:tc>
        <w:tc>
          <w:tcPr>
            <w:tcW w:type="dxa" w:w="1440"/>
          </w:tcPr>
          <w:p>
            <w:r>
              <w:rPr>
                <w:rFonts w:ascii="Calibri" w:hAnsi="Calibri"/>
                <w:sz w:val="22"/>
              </w:rPr>
              <w:t>Total Segment EBITDA</w:t>
            </w:r>
          </w:p>
        </w:tc>
        <w:tc>
          <w:tcPr>
            <w:tcW w:type="dxa" w:w="1440"/>
          </w:tcPr>
          <w:p>
            <w:r>
              <w:rPr>
                <w:rFonts w:ascii="Calibri" w:hAnsi="Calibri"/>
                <w:sz w:val="22"/>
              </w:rPr>
              <w:t>$322M</w:t>
            </w:r>
          </w:p>
        </w:tc>
        <w:tc>
          <w:tcPr>
            <w:tcW w:type="dxa" w:w="1440"/>
          </w:tcPr>
          <w:p>
            <w:r>
              <w:rPr>
                <w:rFonts w:ascii="Calibri" w:hAnsi="Calibri"/>
                <w:sz w:val="22"/>
              </w:rPr>
              <w:t>$309M</w:t>
            </w:r>
          </w:p>
        </w:tc>
        <w:tc>
          <w:tcPr>
            <w:tcW w:type="dxa" w:w="1440"/>
          </w:tcPr>
          <w:p>
            <w:r>
              <w:rPr>
                <w:rFonts w:ascii="Calibri" w:hAnsi="Calibri"/>
                <w:sz w:val="22"/>
              </w:rPr>
              <w:t>+4.2%</w:t>
            </w:r>
          </w:p>
        </w:tc>
        <w:tc>
          <w:tcPr>
            <w:tcW w:type="dxa" w:w="1440"/>
          </w:tcPr>
          <w:p>
            <w:r>
              <w:rPr>
                <w:rFonts w:ascii="Calibri" w:hAnsi="Calibri"/>
                <w:b/>
                <w:color w:val="30A46C"/>
                <w:sz w:val="22"/>
              </w:rPr>
              <w:t>Beat</w:t>
            </w:r>
          </w:p>
        </w:tc>
      </w:tr>
      <w:tr>
        <w:tc>
          <w:tcPr>
            <w:tcW w:type="dxa" w:w="1440"/>
          </w:tcPr>
          <w:p>
            <w:r>
              <w:rPr>
                <w:rFonts w:ascii="Calibri" w:hAnsi="Calibri"/>
                <w:sz w:val="22"/>
              </w:rPr>
              <w:t>Q4 FY2025 (Jun 2025)</w:t>
            </w:r>
          </w:p>
        </w:tc>
        <w:tc>
          <w:tcPr>
            <w:tcW w:type="dxa" w:w="1440"/>
          </w:tcPr>
          <w:p>
            <w:r>
              <w:rPr>
                <w:rFonts w:ascii="Calibri" w:hAnsi="Calibri"/>
                <w:sz w:val="22"/>
              </w:rPr>
              <w:t>Dow Jones Revenue</w:t>
            </w:r>
          </w:p>
        </w:tc>
        <w:tc>
          <w:tcPr>
            <w:tcW w:type="dxa" w:w="1440"/>
          </w:tcPr>
          <w:p>
            <w:r>
              <w:rPr>
                <w:rFonts w:ascii="Calibri" w:hAnsi="Calibri"/>
                <w:sz w:val="22"/>
              </w:rPr>
              <w:t>$604M</w:t>
            </w:r>
          </w:p>
        </w:tc>
        <w:tc>
          <w:tcPr>
            <w:tcW w:type="dxa" w:w="1440"/>
          </w:tcPr>
          <w:p>
            <w:r>
              <w:rPr>
                <w:rFonts w:ascii="Calibri" w:hAnsi="Calibri"/>
                <w:sz w:val="22"/>
              </w:rPr>
              <w:t>$592M</w:t>
            </w:r>
          </w:p>
        </w:tc>
        <w:tc>
          <w:tcPr>
            <w:tcW w:type="dxa" w:w="1440"/>
          </w:tcPr>
          <w:p>
            <w:r>
              <w:rPr>
                <w:rFonts w:ascii="Calibri" w:hAnsi="Calibri"/>
                <w:sz w:val="22"/>
              </w:rPr>
              <w:t>+2.0%</w:t>
            </w:r>
          </w:p>
        </w:tc>
        <w:tc>
          <w:tcPr>
            <w:tcW w:type="dxa" w:w="1440"/>
          </w:tcPr>
          <w:p>
            <w:r>
              <w:rPr>
                <w:rFonts w:ascii="Calibri" w:hAnsi="Calibri"/>
                <w:b/>
                <w:color w:val="30A46C"/>
                <w:sz w:val="22"/>
              </w:rPr>
              <w:t>Beat</w:t>
            </w:r>
          </w:p>
        </w:tc>
      </w:tr>
      <w:tr>
        <w:tc>
          <w:tcPr>
            <w:tcW w:type="dxa" w:w="1440"/>
          </w:tcPr>
          <w:p>
            <w:r>
              <w:rPr>
                <w:rFonts w:ascii="Calibri" w:hAnsi="Calibri"/>
                <w:sz w:val="22"/>
              </w:rPr>
              <w:t>Q3 FY2025 (Mar 2025)</w:t>
            </w:r>
          </w:p>
        </w:tc>
        <w:tc>
          <w:tcPr>
            <w:tcW w:type="dxa" w:w="1440"/>
          </w:tcPr>
          <w:p>
            <w:r>
              <w:rPr>
                <w:rFonts w:ascii="Calibri" w:hAnsi="Calibri"/>
                <w:sz w:val="22"/>
              </w:rPr>
              <w:t>Total Segment EBITDA</w:t>
            </w:r>
          </w:p>
        </w:tc>
        <w:tc>
          <w:tcPr>
            <w:tcW w:type="dxa" w:w="1440"/>
          </w:tcPr>
          <w:p>
            <w:r>
              <w:rPr>
                <w:rFonts w:ascii="Calibri" w:hAnsi="Calibri"/>
                <w:sz w:val="22"/>
              </w:rPr>
              <w:t>$290M</w:t>
            </w:r>
          </w:p>
        </w:tc>
        <w:tc>
          <w:tcPr>
            <w:tcW w:type="dxa" w:w="1440"/>
          </w:tcPr>
          <w:p>
            <w:r>
              <w:rPr>
                <w:rFonts w:ascii="Calibri" w:hAnsi="Calibri"/>
                <w:sz w:val="22"/>
              </w:rPr>
              <w:t>$268M</w:t>
            </w:r>
          </w:p>
        </w:tc>
        <w:tc>
          <w:tcPr>
            <w:tcW w:type="dxa" w:w="1440"/>
          </w:tcPr>
          <w:p>
            <w:r>
              <w:rPr>
                <w:rFonts w:ascii="Calibri" w:hAnsi="Calibri"/>
                <w:sz w:val="22"/>
              </w:rPr>
              <w:t>+8.2%</w:t>
            </w:r>
          </w:p>
        </w:tc>
        <w:tc>
          <w:tcPr>
            <w:tcW w:type="dxa" w:w="1440"/>
          </w:tcPr>
          <w:p>
            <w:r>
              <w:rPr>
                <w:rFonts w:ascii="Calibri" w:hAnsi="Calibri"/>
                <w:b/>
                <w:color w:val="30A46C"/>
                <w:sz w:val="22"/>
              </w:rPr>
              <w:t>Beat</w:t>
            </w:r>
          </w:p>
        </w:tc>
      </w:tr>
      <w:tr>
        <w:tc>
          <w:tcPr>
            <w:tcW w:type="dxa" w:w="1440"/>
          </w:tcPr>
          <w:p>
            <w:r>
              <w:rPr>
                <w:rFonts w:ascii="Calibri" w:hAnsi="Calibri"/>
                <w:sz w:val="22"/>
              </w:rPr>
              <w:t>Q3 FY2025 (Mar 2025)</w:t>
            </w:r>
          </w:p>
        </w:tc>
        <w:tc>
          <w:tcPr>
            <w:tcW w:type="dxa" w:w="1440"/>
          </w:tcPr>
          <w:p>
            <w:r>
              <w:rPr>
                <w:rFonts w:ascii="Calibri" w:hAnsi="Calibri"/>
                <w:sz w:val="22"/>
              </w:rPr>
              <w:t>Dow Jones Revenue</w:t>
            </w:r>
          </w:p>
        </w:tc>
        <w:tc>
          <w:tcPr>
            <w:tcW w:type="dxa" w:w="1440"/>
          </w:tcPr>
          <w:p>
            <w:r>
              <w:rPr>
                <w:rFonts w:ascii="Calibri" w:hAnsi="Calibri"/>
                <w:sz w:val="22"/>
              </w:rPr>
              <w:t>$575M</w:t>
            </w:r>
          </w:p>
        </w:tc>
        <w:tc>
          <w:tcPr>
            <w:tcW w:type="dxa" w:w="1440"/>
          </w:tcPr>
          <w:p>
            <w:r>
              <w:rPr>
                <w:rFonts w:ascii="Calibri" w:hAnsi="Calibri"/>
                <w:sz w:val="22"/>
              </w:rPr>
              <w:t>$565M</w:t>
            </w:r>
          </w:p>
        </w:tc>
        <w:tc>
          <w:tcPr>
            <w:tcW w:type="dxa" w:w="1440"/>
          </w:tcPr>
          <w:p>
            <w:r>
              <w:rPr>
                <w:rFonts w:ascii="Calibri" w:hAnsi="Calibri"/>
                <w:sz w:val="22"/>
              </w:rPr>
              <w:t>+1.8%</w:t>
            </w:r>
          </w:p>
        </w:tc>
        <w:tc>
          <w:tcPr>
            <w:tcW w:type="dxa" w:w="1440"/>
          </w:tcPr>
          <w:p>
            <w:r>
              <w:rPr>
                <w:rFonts w:ascii="Calibri" w:hAnsi="Calibri"/>
                <w:b/>
                <w:color w:val="30A46C"/>
                <w:sz w:val="22"/>
              </w:rPr>
              <w:t>Beat</w:t>
            </w:r>
          </w:p>
        </w:tc>
      </w:tr>
      <w:tr>
        <w:tc>
          <w:tcPr>
            <w:tcW w:type="dxa" w:w="1440"/>
          </w:tcPr>
          <w:p>
            <w:r>
              <w:rPr>
                <w:rFonts w:ascii="Calibri" w:hAnsi="Calibri"/>
                <w:sz w:val="22"/>
              </w:rPr>
              <w:t>Q2 FY2025 (Dec 2024)</w:t>
            </w:r>
          </w:p>
        </w:tc>
        <w:tc>
          <w:tcPr>
            <w:tcW w:type="dxa" w:w="1440"/>
          </w:tcPr>
          <w:p>
            <w:r>
              <w:rPr>
                <w:rFonts w:ascii="Calibri" w:hAnsi="Calibri"/>
                <w:sz w:val="22"/>
              </w:rPr>
              <w:t>Total Segment EBITDA</w:t>
            </w:r>
          </w:p>
        </w:tc>
        <w:tc>
          <w:tcPr>
            <w:tcW w:type="dxa" w:w="1440"/>
          </w:tcPr>
          <w:p>
            <w:r>
              <w:rPr>
                <w:rFonts w:ascii="Calibri" w:hAnsi="Calibri"/>
                <w:sz w:val="22"/>
              </w:rPr>
              <w:t>$478M</w:t>
            </w:r>
          </w:p>
        </w:tc>
        <w:tc>
          <w:tcPr>
            <w:tcW w:type="dxa" w:w="1440"/>
          </w:tcPr>
          <w:p>
            <w:r>
              <w:rPr>
                <w:rFonts w:ascii="Calibri" w:hAnsi="Calibri"/>
                <w:sz w:val="22"/>
              </w:rPr>
              <w:t>$430M</w:t>
            </w:r>
          </w:p>
        </w:tc>
        <w:tc>
          <w:tcPr>
            <w:tcW w:type="dxa" w:w="1440"/>
          </w:tcPr>
          <w:p>
            <w:r>
              <w:rPr>
                <w:rFonts w:ascii="Calibri" w:hAnsi="Calibri"/>
                <w:sz w:val="22"/>
              </w:rPr>
              <w:t>+11.2%</w:t>
            </w:r>
          </w:p>
        </w:tc>
        <w:tc>
          <w:tcPr>
            <w:tcW w:type="dxa" w:w="1440"/>
          </w:tcPr>
          <w:p>
            <w:r>
              <w:rPr>
                <w:rFonts w:ascii="Calibri" w:hAnsi="Calibri"/>
                <w:b/>
                <w:color w:val="30A46C"/>
                <w:sz w:val="22"/>
              </w:rPr>
              <w:t>Beat</w:t>
            </w:r>
          </w:p>
        </w:tc>
      </w:tr>
      <w:tr>
        <w:tc>
          <w:tcPr>
            <w:tcW w:type="dxa" w:w="1440"/>
          </w:tcPr>
          <w:p>
            <w:r>
              <w:rPr>
                <w:rFonts w:ascii="Calibri" w:hAnsi="Calibri"/>
                <w:sz w:val="22"/>
              </w:rPr>
              <w:t>Q2 FY2025 (Dec 2024)</w:t>
            </w:r>
          </w:p>
        </w:tc>
        <w:tc>
          <w:tcPr>
            <w:tcW w:type="dxa" w:w="1440"/>
          </w:tcPr>
          <w:p>
            <w:r>
              <w:rPr>
                <w:rFonts w:ascii="Calibri" w:hAnsi="Calibri"/>
                <w:sz w:val="22"/>
              </w:rPr>
              <w:t>Dow Jones Revenue</w:t>
            </w:r>
          </w:p>
        </w:tc>
        <w:tc>
          <w:tcPr>
            <w:tcW w:type="dxa" w:w="1440"/>
          </w:tcPr>
          <w:p>
            <w:r>
              <w:rPr>
                <w:rFonts w:ascii="Calibri" w:hAnsi="Calibri"/>
                <w:sz w:val="22"/>
              </w:rPr>
              <w:t>$600M</w:t>
            </w:r>
          </w:p>
        </w:tc>
        <w:tc>
          <w:tcPr>
            <w:tcW w:type="dxa" w:w="1440"/>
          </w:tcPr>
          <w:p>
            <w:r>
              <w:rPr>
                <w:rFonts w:ascii="Calibri" w:hAnsi="Calibri"/>
                <w:sz w:val="22"/>
              </w:rPr>
              <w:t>$603M</w:t>
            </w:r>
          </w:p>
        </w:tc>
        <w:tc>
          <w:tcPr>
            <w:tcW w:type="dxa" w:w="1440"/>
          </w:tcPr>
          <w:p>
            <w:r>
              <w:rPr>
                <w:rFonts w:ascii="Calibri" w:hAnsi="Calibri"/>
                <w:sz w:val="22"/>
              </w:rPr>
              <w:t>-0.5%</w:t>
            </w:r>
          </w:p>
        </w:tc>
        <w:tc>
          <w:tcPr>
            <w:tcW w:type="dxa" w:w="1440"/>
          </w:tcPr>
          <w:p>
            <w:r>
              <w:rPr>
                <w:rFonts w:ascii="Calibri" w:hAnsi="Calibri"/>
                <w:b/>
                <w:color w:val="E5484D"/>
                <w:sz w:val="22"/>
              </w:rPr>
              <w:t>Miss</w:t>
            </w:r>
          </w:p>
        </w:tc>
      </w:tr>
      <w:tr>
        <w:tc>
          <w:tcPr>
            <w:tcW w:type="dxa" w:w="1440"/>
          </w:tcPr>
          <w:p>
            <w:r>
              <w:rPr>
                <w:rFonts w:ascii="Calibri" w:hAnsi="Calibri"/>
                <w:sz w:val="22"/>
              </w:rPr>
              <w:t>Q1 FY2025 (Sep 2024)</w:t>
            </w:r>
          </w:p>
        </w:tc>
        <w:tc>
          <w:tcPr>
            <w:tcW w:type="dxa" w:w="1440"/>
          </w:tcPr>
          <w:p>
            <w:r>
              <w:rPr>
                <w:rFonts w:ascii="Calibri" w:hAnsi="Calibri"/>
                <w:sz w:val="22"/>
              </w:rPr>
              <w:t>Total Segment EBITDA</w:t>
            </w:r>
          </w:p>
        </w:tc>
        <w:tc>
          <w:tcPr>
            <w:tcW w:type="dxa" w:w="1440"/>
          </w:tcPr>
          <w:p>
            <w:r>
              <w:rPr>
                <w:rFonts w:ascii="Calibri" w:hAnsi="Calibri"/>
                <w:sz w:val="22"/>
              </w:rPr>
              <w:t>$325M</w:t>
            </w:r>
          </w:p>
        </w:tc>
        <w:tc>
          <w:tcPr>
            <w:tcW w:type="dxa" w:w="1440"/>
          </w:tcPr>
          <w:p>
            <w:r>
              <w:rPr>
                <w:rFonts w:ascii="Calibri" w:hAnsi="Calibri"/>
                <w:sz w:val="22"/>
              </w:rPr>
              <w:t>$399M</w:t>
            </w:r>
          </w:p>
        </w:tc>
        <w:tc>
          <w:tcPr>
            <w:tcW w:type="dxa" w:w="1440"/>
          </w:tcPr>
          <w:p>
            <w:r>
              <w:rPr>
                <w:rFonts w:ascii="Calibri" w:hAnsi="Calibri"/>
                <w:sz w:val="22"/>
              </w:rPr>
              <w:t>-18.5%</w:t>
            </w:r>
          </w:p>
        </w:tc>
        <w:tc>
          <w:tcPr>
            <w:tcW w:type="dxa" w:w="1440"/>
          </w:tcPr>
          <w:p>
            <w:r>
              <w:rPr>
                <w:rFonts w:ascii="Calibri" w:hAnsi="Calibri"/>
                <w:b/>
                <w:color w:val="E5484D"/>
                <w:sz w:val="22"/>
              </w:rPr>
              <w:t>Miss</w:t>
            </w:r>
          </w:p>
        </w:tc>
      </w:tr>
      <w:tr>
        <w:tc>
          <w:tcPr>
            <w:tcW w:type="dxa" w:w="1440"/>
          </w:tcPr>
          <w:p>
            <w:r>
              <w:rPr>
                <w:rFonts w:ascii="Calibri" w:hAnsi="Calibri"/>
                <w:sz w:val="22"/>
              </w:rPr>
              <w:t>Q1 FY2025 (Sep 2024)</w:t>
            </w:r>
          </w:p>
        </w:tc>
        <w:tc>
          <w:tcPr>
            <w:tcW w:type="dxa" w:w="1440"/>
          </w:tcPr>
          <w:p>
            <w:r>
              <w:rPr>
                <w:rFonts w:ascii="Calibri" w:hAnsi="Calibri"/>
                <w:sz w:val="22"/>
              </w:rPr>
              <w:t>Dow Jones Revenue</w:t>
            </w:r>
          </w:p>
        </w:tc>
        <w:tc>
          <w:tcPr>
            <w:tcW w:type="dxa" w:w="1440"/>
          </w:tcPr>
          <w:p>
            <w:r>
              <w:rPr>
                <w:rFonts w:ascii="Calibri" w:hAnsi="Calibri"/>
                <w:sz w:val="22"/>
              </w:rPr>
              <w:t>$552M</w:t>
            </w:r>
          </w:p>
        </w:tc>
        <w:tc>
          <w:tcPr>
            <w:tcW w:type="dxa" w:w="1440"/>
          </w:tcPr>
          <w:p>
            <w:r>
              <w:rPr>
                <w:rFonts w:ascii="Calibri" w:hAnsi="Calibri"/>
                <w:sz w:val="22"/>
              </w:rPr>
              <w:t>$557M</w:t>
            </w:r>
          </w:p>
        </w:tc>
        <w:tc>
          <w:tcPr>
            <w:tcW w:type="dxa" w:w="1440"/>
          </w:tcPr>
          <w:p>
            <w:r>
              <w:rPr>
                <w:rFonts w:ascii="Calibri" w:hAnsi="Calibri"/>
                <w:sz w:val="22"/>
              </w:rPr>
              <w:t>-0.9%</w:t>
            </w:r>
          </w:p>
        </w:tc>
        <w:tc>
          <w:tcPr>
            <w:tcW w:type="dxa" w:w="1440"/>
          </w:tcPr>
          <w:p>
            <w:r>
              <w:rPr>
                <w:rFonts w:ascii="Calibri" w:hAnsi="Calibri"/>
                <w:b/>
                <w:color w:val="E5484D"/>
                <w:sz w:val="22"/>
              </w:rPr>
              <w:t>Miss</w:t>
            </w:r>
          </w:p>
        </w:tc>
      </w:tr>
      <w:tr>
        <w:tc>
          <w:tcPr>
            <w:tcW w:type="dxa" w:w="1440"/>
          </w:tcPr>
          <w:p>
            <w:r>
              <w:rPr>
                <w:rFonts w:ascii="Calibri" w:hAnsi="Calibri"/>
                <w:sz w:val="22"/>
              </w:rPr>
              <w:t>Q4 FY2024 (Jun 2024)</w:t>
            </w:r>
          </w:p>
        </w:tc>
        <w:tc>
          <w:tcPr>
            <w:tcW w:type="dxa" w:w="1440"/>
          </w:tcPr>
          <w:p>
            <w:r>
              <w:rPr>
                <w:rFonts w:ascii="Calibri" w:hAnsi="Calibri"/>
                <w:sz w:val="22"/>
              </w:rPr>
              <w:t>Total Segment EBITDA</w:t>
            </w:r>
          </w:p>
        </w:tc>
        <w:tc>
          <w:tcPr>
            <w:tcW w:type="dxa" w:w="1440"/>
          </w:tcPr>
          <w:p>
            <w:r>
              <w:rPr>
                <w:rFonts w:ascii="Calibri" w:hAnsi="Calibri"/>
                <w:sz w:val="22"/>
              </w:rPr>
              <w:t>$310M</w:t>
            </w:r>
          </w:p>
        </w:tc>
        <w:tc>
          <w:tcPr>
            <w:tcW w:type="dxa" w:w="1440"/>
          </w:tcPr>
          <w:p>
            <w:r>
              <w:rPr>
                <w:rFonts w:ascii="Calibri" w:hAnsi="Calibri"/>
                <w:sz w:val="22"/>
              </w:rPr>
              <w:t>$366M</w:t>
            </w:r>
          </w:p>
        </w:tc>
        <w:tc>
          <w:tcPr>
            <w:tcW w:type="dxa" w:w="1440"/>
          </w:tcPr>
          <w:p>
            <w:r>
              <w:rPr>
                <w:rFonts w:ascii="Calibri" w:hAnsi="Calibri"/>
                <w:sz w:val="22"/>
              </w:rPr>
              <w:t>-15.3%</w:t>
            </w:r>
          </w:p>
        </w:tc>
        <w:tc>
          <w:tcPr>
            <w:tcW w:type="dxa" w:w="1440"/>
          </w:tcPr>
          <w:p>
            <w:r>
              <w:rPr>
                <w:rFonts w:ascii="Calibri" w:hAnsi="Calibri"/>
                <w:b/>
                <w:color w:val="E5484D"/>
                <w:sz w:val="22"/>
              </w:rPr>
              <w:t>Miss</w:t>
            </w:r>
          </w:p>
        </w:tc>
      </w:tr>
      <w:tr>
        <w:tc>
          <w:tcPr>
            <w:tcW w:type="dxa" w:w="1440"/>
          </w:tcPr>
          <w:p>
            <w:r>
              <w:rPr>
                <w:rFonts w:ascii="Calibri" w:hAnsi="Calibri"/>
                <w:sz w:val="22"/>
              </w:rPr>
              <w:t>Q4 FY2024 (Jun 2024)</w:t>
            </w:r>
          </w:p>
        </w:tc>
        <w:tc>
          <w:tcPr>
            <w:tcW w:type="dxa" w:w="1440"/>
          </w:tcPr>
          <w:p>
            <w:r>
              <w:rPr>
                <w:rFonts w:ascii="Calibri" w:hAnsi="Calibri"/>
                <w:sz w:val="22"/>
              </w:rPr>
              <w:t>Dow Jones Revenue</w:t>
            </w:r>
          </w:p>
        </w:tc>
        <w:tc>
          <w:tcPr>
            <w:tcW w:type="dxa" w:w="1440"/>
          </w:tcPr>
          <w:p>
            <w:r>
              <w:rPr>
                <w:rFonts w:ascii="Calibri" w:hAnsi="Calibri"/>
                <w:sz w:val="22"/>
              </w:rPr>
              <w:t>$566M</w:t>
            </w:r>
          </w:p>
        </w:tc>
        <w:tc>
          <w:tcPr>
            <w:tcW w:type="dxa" w:w="1440"/>
          </w:tcPr>
          <w:p>
            <w:r>
              <w:rPr>
                <w:rFonts w:ascii="Calibri" w:hAnsi="Calibri"/>
                <w:sz w:val="22"/>
              </w:rPr>
              <w:t>$566M</w:t>
            </w:r>
          </w:p>
        </w:tc>
        <w:tc>
          <w:tcPr>
            <w:tcW w:type="dxa" w:w="1440"/>
          </w:tcPr>
          <w:p>
            <w:r>
              <w:rPr>
                <w:rFonts w:ascii="Calibri" w:hAnsi="Calibri"/>
                <w:sz w:val="22"/>
              </w:rPr>
              <w:t>0.0%</w:t>
            </w:r>
          </w:p>
        </w:tc>
        <w:tc>
          <w:tcPr>
            <w:tcW w:type="dxa" w:w="1440"/>
          </w:tcPr>
          <w:p>
            <w:r>
              <w:rPr>
                <w:rFonts w:ascii="Calibri" w:hAnsi="Calibri"/>
                <w:sz w:val="22"/>
              </w:rPr>
              <w:t>In-Line</w:t>
            </w:r>
          </w:p>
        </w:tc>
      </w:tr>
    </w:tbl>
    <w:p>
      <w:r>
        <w:rPr>
          <w:rFonts w:ascii="Calibri" w:hAnsi="Calibri"/>
          <w:b/>
          <w:color w:val="525866"/>
          <w:sz w:val="22"/>
        </w:rPr>
        <w:t xml:space="preserve">Pattern: </w:t>
      </w:r>
      <w:r>
        <w:rPr>
          <w:rFonts w:ascii="Calibri" w:hAnsi="Calibri"/>
          <w:i/>
          <w:color w:val="525866"/>
          <w:sz w:val="22"/>
        </w:rPr>
        <w:t>NWS has beaten EBITDA consensus in 6 of the last 8 quarters, with the two misses concentrated in Q4 FY2024 and Q1 FY2025 (a period of elevated restructuring and Foxtel-related charges); the last five consecutive quarters have all been EBITDA beats, establishing a clear positive trend. Dow Jones revenue has been more mixed but has beaten or matched in 5 of 8 quarters.</w:t>
      </w:r>
    </w:p>
    <w:p>
      <w:r>
        <w:rPr>
          <w:rFonts w:ascii="Calibri" w:hAnsi="Calibri"/>
          <w:i/>
          <w:color w:val="525866"/>
          <w:sz w:val="22"/>
        </w:rPr>
        <w:t>Source: Visible Alpha Consensus and Actuals Data. Consensus figures represent estimates as of the respective reporting dates.</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Management’s tone has been consistently and explicitly positive since the Q3 print — no formal numerical guidance was revised, but qualitative commentary on Q4 trends was unusually specific and bullish, with the CEO confirming “strength seen thus far in the fourth quarter.”</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(Q3 FY2026 Earnings Call, May 7,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Full-Year Profitability</w:t>
            </w:r>
          </w:p>
        </w:tc>
        <w:tc>
          <w:tcPr>
            <w:tcW w:type="dxa" w:w="1728"/>
          </w:tcPr>
          <w:p>
            <w:r>
              <w:rPr>
                <w:rFonts w:ascii="Calibri" w:hAnsi="Calibri"/>
                <w:sz w:val="22"/>
              </w:rPr>
              <w:t>“On track for another year of record profitability given the strength seen thus far in the fourth quarter”</w:t>
            </w:r>
          </w:p>
        </w:tc>
        <w:tc>
          <w:tcPr>
            <w:tcW w:type="dxa" w:w="1728"/>
          </w:tcPr>
          <w:p>
            <w:r>
              <w:rPr>
                <w:rFonts w:ascii="Calibri" w:hAnsi="Calibri"/>
                <w:sz w:val="22"/>
              </w:rPr>
              <w:t>—</w:t>
            </w:r>
          </w:p>
        </w:tc>
        <w:tc>
          <w:tcPr>
            <w:tcW w:type="dxa" w:w="1728"/>
          </w:tcPr>
          <w:p>
            <w:r>
              <w:rPr>
                <w:rFonts w:ascii="Calibri" w:hAnsi="Calibri"/>
                <w:sz w:val="22"/>
              </w:rPr>
              <w:t>FY2026 EBITDA: $1,579M</w:t>
            </w:r>
          </w:p>
        </w:tc>
        <w:tc>
          <w:tcPr>
            <w:tcW w:type="dxa" w:w="1728"/>
          </w:tcPr>
          <w:p>
            <w:r>
              <w:rPr>
                <w:rFonts w:ascii="Calibri" w:hAnsi="Calibri"/>
                <w:sz w:val="22"/>
              </w:rPr>
              <w:t>Unchanged; tone explicitly bullish. Confirmed on Q3 call.</w:t>
            </w:r>
          </w:p>
        </w:tc>
      </w:tr>
      <w:tr>
        <w:tc>
          <w:tcPr>
            <w:tcW w:type="dxa" w:w="1728"/>
          </w:tcPr>
          <w:p>
            <w:r>
              <w:rPr>
                <w:rFonts w:ascii="Calibri" w:hAnsi="Calibri"/>
                <w:sz w:val="22"/>
              </w:rPr>
              <w:t>Free Cash Flow</w:t>
            </w:r>
          </w:p>
        </w:tc>
        <w:tc>
          <w:tcPr>
            <w:tcW w:type="dxa" w:w="1728"/>
          </w:tcPr>
          <w:p>
            <w:r>
              <w:rPr>
                <w:rFonts w:ascii="Calibri" w:hAnsi="Calibri"/>
                <w:sz w:val="22"/>
              </w:rPr>
              <w:t>“Strong growth in free cash flow generation for the full fiscal year despite moderately higher capital expenditures”</w:t>
            </w:r>
          </w:p>
        </w:tc>
        <w:tc>
          <w:tcPr>
            <w:tcW w:type="dxa" w:w="1728"/>
          </w:tcPr>
          <w:p>
            <w:r>
              <w:rPr>
                <w:rFonts w:ascii="Calibri" w:hAnsi="Calibri"/>
                <w:sz w:val="22"/>
              </w:rPr>
              <w:t>—</w:t>
            </w:r>
          </w:p>
        </w:tc>
        <w:tc>
          <w:tcPr>
            <w:tcW w:type="dxa" w:w="1728"/>
          </w:tcPr>
          <w:p>
            <w:r>
              <w:rPr>
                <w:rFonts w:ascii="Calibri" w:hAnsi="Calibri"/>
                <w:sz w:val="22"/>
              </w:rPr>
              <w:t>N/A — not tracked in VA consensus</w:t>
            </w:r>
          </w:p>
        </w:tc>
        <w:tc>
          <w:tcPr>
            <w:tcW w:type="dxa" w:w="1728"/>
          </w:tcPr>
          <w:p>
            <w:r>
              <w:rPr>
                <w:rFonts w:ascii="Calibri" w:hAnsi="Calibri"/>
                <w:sz w:val="22"/>
              </w:rPr>
              <w:t>Unchanged; qualitative only.</w:t>
            </w:r>
          </w:p>
        </w:tc>
      </w:tr>
      <w:tr>
        <w:tc>
          <w:tcPr>
            <w:tcW w:type="dxa" w:w="1728"/>
          </w:tcPr>
          <w:p>
            <w:r>
              <w:rPr>
                <w:rFonts w:ascii="Calibri" w:hAnsi="Calibri"/>
                <w:sz w:val="22"/>
              </w:rPr>
              <w:t>Dow Jones Q4 Revenue &amp; Margins</w:t>
            </w:r>
          </w:p>
        </w:tc>
        <w:tc>
          <w:tcPr>
            <w:tcW w:type="dxa" w:w="1728"/>
          </w:tcPr>
          <w:p>
            <w:r>
              <w:rPr>
                <w:rFonts w:ascii="Calibri" w:hAnsi="Calibri"/>
                <w:sz w:val="22"/>
              </w:rPr>
              <w:t>“Continued strong revenue performance and improved margins”; net adds “notably higher” in Q4 driven by enterprise partnerships</w:t>
            </w:r>
          </w:p>
        </w:tc>
        <w:tc>
          <w:tcPr>
            <w:tcW w:type="dxa" w:w="1728"/>
          </w:tcPr>
          <w:p>
            <w:r>
              <w:rPr>
                <w:rFonts w:ascii="Calibri" w:hAnsi="Calibri"/>
                <w:sz w:val="22"/>
              </w:rPr>
              <w:t>—</w:t>
            </w:r>
          </w:p>
        </w:tc>
        <w:tc>
          <w:tcPr>
            <w:tcW w:type="dxa" w:w="1728"/>
          </w:tcPr>
          <w:p>
            <w:r>
              <w:rPr>
                <w:rFonts w:ascii="Calibri" w:hAnsi="Calibri"/>
                <w:sz w:val="22"/>
              </w:rPr>
              <w:t>$640M</w:t>
            </w:r>
          </w:p>
        </w:tc>
        <w:tc>
          <w:tcPr>
            <w:tcW w:type="dxa" w:w="1728"/>
          </w:tcPr>
          <w:p>
            <w:r>
              <w:rPr>
                <w:rFonts w:ascii="Calibri" w:hAnsi="Calibri"/>
                <w:sz w:val="22"/>
              </w:rPr>
              <w:t>Unchanged; specific positive commentary on enterprise net adds.</w:t>
            </w:r>
          </w:p>
        </w:tc>
      </w:tr>
      <w:tr>
        <w:tc>
          <w:tcPr>
            <w:tcW w:type="dxa" w:w="1728"/>
          </w:tcPr>
          <w:p>
            <w:r>
              <w:rPr>
                <w:rFonts w:ascii="Calibri" w:hAnsi="Calibri"/>
                <w:sz w:val="22"/>
              </w:rPr>
              <w:t>Realtor.com / Move Q4</w:t>
            </w:r>
          </w:p>
        </w:tc>
        <w:tc>
          <w:tcPr>
            <w:tcW w:type="dxa" w:w="1728"/>
          </w:tcPr>
          <w:p>
            <w:r>
              <w:rPr>
                <w:rFonts w:ascii="Calibri" w:hAnsi="Calibri"/>
                <w:sz w:val="22"/>
              </w:rPr>
              <w:t>“Hope to see continued revenue improvement, albeit the overall housing recovery could be impacted in the shorter term by rising mortgage rates”</w:t>
            </w:r>
          </w:p>
        </w:tc>
        <w:tc>
          <w:tcPr>
            <w:tcW w:type="dxa" w:w="1728"/>
          </w:tcPr>
          <w:p>
            <w:r>
              <w:rPr>
                <w:rFonts w:ascii="Calibri" w:hAnsi="Calibri"/>
                <w:sz w:val="22"/>
              </w:rPr>
              <w:t>—</w:t>
            </w:r>
          </w:p>
        </w:tc>
        <w:tc>
          <w:tcPr>
            <w:tcW w:type="dxa" w:w="1728"/>
          </w:tcPr>
          <w:p>
            <w:r>
              <w:rPr>
                <w:rFonts w:ascii="Calibri" w:hAnsi="Calibri"/>
                <w:sz w:val="22"/>
              </w:rPr>
              <w:t>$163M</w:t>
            </w:r>
          </w:p>
        </w:tc>
        <w:tc>
          <w:tcPr>
            <w:tcW w:type="dxa" w:w="1728"/>
          </w:tcPr>
          <w:p>
            <w:r>
              <w:rPr>
                <w:rFonts w:ascii="Calibri" w:hAnsi="Calibri"/>
                <w:sz w:val="22"/>
              </w:rPr>
              <w:t>Unchanged; management flagged mortgage rate risk explicitly — rates have since risen to ~6.85% (highest in over a year), validating the caution.</w:t>
            </w:r>
          </w:p>
        </w:tc>
      </w:tr>
      <w:tr>
        <w:tc>
          <w:tcPr>
            <w:tcW w:type="dxa" w:w="1728"/>
          </w:tcPr>
          <w:p>
            <w:r>
              <w:rPr>
                <w:rFonts w:ascii="Calibri" w:hAnsi="Calibri"/>
                <w:sz w:val="22"/>
              </w:rPr>
              <w:t>Book Publishing Q4</w:t>
            </w:r>
          </w:p>
        </w:tc>
        <w:tc>
          <w:tcPr>
            <w:tcW w:type="dxa" w:w="1728"/>
          </w:tcPr>
          <w:p>
            <w:r>
              <w:rPr>
                <w:rFonts w:ascii="Calibri" w:hAnsi="Calibri"/>
                <w:sz w:val="22"/>
              </w:rPr>
              <w:t>“Overall HarperCollins trends remain favorable; expect to benefit from a stronger frontlist program” (JD Vance’s Communion, Ann Patchett, Alex Aster, Laurie Gilmore)</w:t>
            </w:r>
          </w:p>
        </w:tc>
        <w:tc>
          <w:tcPr>
            <w:tcW w:type="dxa" w:w="1728"/>
          </w:tcPr>
          <w:p>
            <w:r>
              <w:rPr>
                <w:rFonts w:ascii="Calibri" w:hAnsi="Calibri"/>
                <w:sz w:val="22"/>
              </w:rPr>
              <w:t>—</w:t>
            </w:r>
          </w:p>
        </w:tc>
        <w:tc>
          <w:tcPr>
            <w:tcW w:type="dxa" w:w="1728"/>
          </w:tcPr>
          <w:p>
            <w:r>
              <w:rPr>
                <w:rFonts w:ascii="Calibri" w:hAnsi="Calibri"/>
                <w:sz w:val="22"/>
              </w:rPr>
              <w:t>$515M</w:t>
            </w:r>
          </w:p>
        </w:tc>
        <w:tc>
          <w:tcPr>
            <w:tcW w:type="dxa" w:w="1728"/>
          </w:tcPr>
          <w:p>
            <w:r>
              <w:rPr>
                <w:rFonts w:ascii="Calibri" w:hAnsi="Calibri"/>
                <w:sz w:val="22"/>
              </w:rPr>
              <w:t>Unchanged; frontlist titles confirmed. Remarkably Bright Creatures Netflix release adds tailwind.</w:t>
            </w:r>
          </w:p>
        </w:tc>
      </w:tr>
      <w:tr>
        <w:tc>
          <w:tcPr>
            <w:tcW w:type="dxa" w:w="1728"/>
          </w:tcPr>
          <w:p>
            <w:r>
              <w:rPr>
                <w:rFonts w:ascii="Calibri" w:hAnsi="Calibri"/>
                <w:sz w:val="22"/>
              </w:rPr>
              <w:t>News Media Q4</w:t>
            </w:r>
          </w:p>
        </w:tc>
        <w:tc>
          <w:tcPr>
            <w:tcW w:type="dxa" w:w="1728"/>
          </w:tcPr>
          <w:p>
            <w:r>
              <w:rPr>
                <w:rFonts w:ascii="Calibri" w:hAnsi="Calibri"/>
                <w:sz w:val="22"/>
              </w:rPr>
              <w:t>“Some incremental costs vs. prior year related to California Post rollout, but should also see some benefits from new content licensing revenues”</w:t>
            </w:r>
          </w:p>
        </w:tc>
        <w:tc>
          <w:tcPr>
            <w:tcW w:type="dxa" w:w="1728"/>
          </w:tcPr>
          <w:p>
            <w:r>
              <w:rPr>
                <w:rFonts w:ascii="Calibri" w:hAnsi="Calibri"/>
                <w:sz w:val="22"/>
              </w:rPr>
              <w:t>—</w:t>
            </w:r>
          </w:p>
        </w:tc>
        <w:tc>
          <w:tcPr>
            <w:tcW w:type="dxa" w:w="1728"/>
          </w:tcPr>
          <w:p>
            <w:r>
              <w:rPr>
                <w:rFonts w:ascii="Calibri" w:hAnsi="Calibri"/>
                <w:sz w:val="22"/>
              </w:rPr>
              <w:t>N/A — segment EBITDA not separately tracked in VA</w:t>
            </w:r>
          </w:p>
        </w:tc>
        <w:tc>
          <w:tcPr>
            <w:tcW w:type="dxa" w:w="1728"/>
          </w:tcPr>
          <w:p>
            <w:r>
              <w:rPr>
                <w:rFonts w:ascii="Calibri" w:hAnsi="Calibri"/>
                <w:sz w:val="22"/>
              </w:rPr>
              <w:t>Unchanged; California Post investment costs partially offset by AI licensing revenue benefits.</w:t>
            </w:r>
          </w:p>
        </w:tc>
      </w:tr>
      <w:tr>
        <w:tc>
          <w:tcPr>
            <w:tcW w:type="dxa" w:w="1728"/>
          </w:tcPr>
          <w:p>
            <w:r>
              <w:rPr>
                <w:rFonts w:ascii="Calibri" w:hAnsi="Calibri"/>
                <w:sz w:val="22"/>
              </w:rPr>
              <w:t>AI Licensing</w:t>
            </w:r>
          </w:p>
        </w:tc>
        <w:tc>
          <w:tcPr>
            <w:tcW w:type="dxa" w:w="1728"/>
          </w:tcPr>
          <w:p>
            <w:r>
              <w:rPr>
                <w:rFonts w:ascii="Calibri" w:hAnsi="Calibri"/>
                <w:sz w:val="22"/>
              </w:rPr>
              <w:t>“In discussions with other companies who recognize the preciousness of provenance; these potential deals should have a positive impact on our revenue and profitability”; Anthropic settlement proceeds expected “later this calendar year”</w:t>
            </w:r>
          </w:p>
        </w:tc>
        <w:tc>
          <w:tcPr>
            <w:tcW w:type="dxa" w:w="1728"/>
          </w:tcPr>
          <w:p>
            <w:r>
              <w:rPr>
                <w:rFonts w:ascii="Calibri" w:hAnsi="Calibri"/>
                <w:sz w:val="22"/>
              </w:rPr>
              <w:t>—</w:t>
            </w:r>
          </w:p>
        </w:tc>
        <w:tc>
          <w:tcPr>
            <w:tcW w:type="dxa" w:w="1728"/>
          </w:tcPr>
          <w:p>
            <w:r>
              <w:rPr>
                <w:rFonts w:ascii="Calibri" w:hAnsi="Calibri"/>
                <w:sz w:val="22"/>
              </w:rPr>
              <w:t>Not separately modeled in consensus</w:t>
            </w:r>
          </w:p>
        </w:tc>
        <w:tc>
          <w:tcPr>
            <w:tcW w:type="dxa" w:w="1728"/>
          </w:tcPr>
          <w:p>
            <w:r>
              <w:rPr>
                <w:rFonts w:ascii="Calibri" w:hAnsi="Calibri"/>
                <w:sz w:val="22"/>
              </w:rPr>
              <w:t>Unchanged; upside optionality if new deals announced. Anthropic $1.5B settlement proceeds expected in H2 CY2026.</w:t>
            </w:r>
          </w:p>
        </w:tc>
      </w:tr>
      <w:tr>
        <w:tc>
          <w:tcPr>
            <w:tcW w:type="dxa" w:w="1728"/>
          </w:tcPr>
          <w:p>
            <w:r>
              <w:rPr>
                <w:rFonts w:ascii="Calibri" w:hAnsi="Calibri"/>
                <w:sz w:val="22"/>
              </w:rPr>
              <w:t>Share Buyback</w:t>
            </w:r>
          </w:p>
        </w:tc>
        <w:tc>
          <w:tcPr>
            <w:tcW w:type="dxa" w:w="1728"/>
          </w:tcPr>
          <w:p>
            <w:r>
              <w:rPr>
                <w:rFonts w:ascii="Calibri" w:hAnsi="Calibri"/>
                <w:sz w:val="22"/>
              </w:rPr>
              <w:t>Accelerated pace; $459M YTD through Q3; “enhanced buyback program at an accelerated rate”; $1B total program</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Ongoing; daily ASX buyback disclosures confirm continued execution through August 2026.</w:t>
            </w:r>
          </w:p>
        </w:tc>
      </w:tr>
    </w:tbl>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Estimates have been essentially flat-to-slightly-down since the Q3 print — operating EPS for Q4 drifted from $0.231 to $0.229 and EBITDA from $390M to $373M — suggesting the street has not aggressively raised the bar post-Q3, which is a constructive setup. Full-year FY2026 estimates are similarly stable, tracking just below the post-Q3 baseline.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Q3 Earnings (May 14, 2026)</w:t>
            </w:r>
          </w:p>
        </w:tc>
        <w:tc>
          <w:tcPr>
            <w:tcW w:type="dxa" w:w="1080"/>
            <w:shd w:val="clear" w:color="auto" w:fill="3B4259"/>
          </w:tcPr>
          <w:p>
            <w:r>
              <w:rPr>
                <w:rFonts w:ascii="Calibri" w:hAnsi="Calibri"/>
                <w:b/>
                <w:color w:val="FFFFFF"/>
                <w:sz w:val="22"/>
              </w:rPr>
              <w:t>Current Consensus (Aug 4,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(Q3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w:t>
            </w:r>
          </w:p>
        </w:tc>
      </w:tr>
      <w:tr>
        <w:tc>
          <w:tcPr>
            <w:tcW w:type="dxa" w:w="1080"/>
          </w:tcPr>
          <w:p>
            <w:r>
              <w:rPr>
                <w:rFonts w:ascii="Calibri" w:hAnsi="Calibri"/>
                <w:sz w:val="22"/>
              </w:rPr>
              <w:t>Total Revenues — Q4 FY2026</w:t>
            </w:r>
          </w:p>
        </w:tc>
        <w:tc>
          <w:tcPr>
            <w:tcW w:type="dxa" w:w="1080"/>
          </w:tcPr>
          <w:p>
            <w:r>
              <w:rPr>
                <w:rFonts w:ascii="Calibri" w:hAnsi="Calibri"/>
                <w:sz w:val="22"/>
              </w:rPr>
              <w:t>$2,243M</w:t>
            </w:r>
          </w:p>
        </w:tc>
        <w:tc>
          <w:tcPr>
            <w:tcW w:type="dxa" w:w="1080"/>
          </w:tcPr>
          <w:p>
            <w:r>
              <w:rPr>
                <w:rFonts w:ascii="Calibri" w:hAnsi="Calibri"/>
                <w:sz w:val="22"/>
              </w:rPr>
              <w:t>$2,246M</w:t>
            </w:r>
          </w:p>
        </w:tc>
        <w:tc>
          <w:tcPr>
            <w:tcW w:type="dxa" w:w="1080"/>
          </w:tcPr>
          <w:p>
            <w:r>
              <w:rPr>
                <w:rFonts w:ascii="Calibri" w:hAnsi="Calibri"/>
                <w:sz w:val="22"/>
              </w:rPr>
              <w:t>+0.1%</w:t>
            </w:r>
          </w:p>
        </w:tc>
        <w:tc>
          <w:tcPr>
            <w:tcW w:type="dxa" w:w="1080"/>
          </w:tcPr>
          <w:p>
            <w:r>
              <w:rPr>
                <w:rFonts w:ascii="Calibri" w:hAnsi="Calibri"/>
                <w:sz w:val="22"/>
              </w:rPr>
              <w:t>Qualitative: “Strong results”</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 — qualitative only</w:t>
            </w:r>
          </w:p>
        </w:tc>
      </w:tr>
      <w:tr>
        <w:tc>
          <w:tcPr>
            <w:tcW w:type="dxa" w:w="1080"/>
          </w:tcPr>
          <w:p>
            <w:r>
              <w:rPr>
                <w:rFonts w:ascii="Calibri" w:hAnsi="Calibri"/>
                <w:sz w:val="22"/>
              </w:rPr>
              <w:t>Total Revenues — FY2026</w:t>
            </w:r>
          </w:p>
        </w:tc>
        <w:tc>
          <w:tcPr>
            <w:tcW w:type="dxa" w:w="1080"/>
          </w:tcPr>
          <w:p>
            <w:r>
              <w:rPr>
                <w:rFonts w:ascii="Calibri" w:hAnsi="Calibri"/>
                <w:sz w:val="22"/>
              </w:rPr>
              <w:t>$8,910M</w:t>
            </w:r>
          </w:p>
        </w:tc>
        <w:tc>
          <w:tcPr>
            <w:tcW w:type="dxa" w:w="1080"/>
          </w:tcPr>
          <w:p>
            <w:r>
              <w:rPr>
                <w:rFonts w:ascii="Calibri" w:hAnsi="Calibri"/>
                <w:sz w:val="22"/>
              </w:rPr>
              <w:t>$8,912M</w:t>
            </w:r>
          </w:p>
        </w:tc>
        <w:tc>
          <w:tcPr>
            <w:tcW w:type="dxa" w:w="1080"/>
          </w:tcPr>
          <w:p>
            <w:r>
              <w:rPr>
                <w:rFonts w:ascii="Calibri" w:hAnsi="Calibri"/>
                <w:sz w:val="22"/>
              </w:rPr>
              <w:t>+0.0%</w:t>
            </w:r>
          </w:p>
        </w:tc>
        <w:tc>
          <w:tcPr>
            <w:tcW w:type="dxa" w:w="1080"/>
          </w:tcPr>
          <w:p>
            <w:r>
              <w:rPr>
                <w:rFonts w:ascii="Calibri" w:hAnsi="Calibri"/>
                <w:sz w:val="22"/>
              </w:rPr>
              <w:t>Qualitative: Record profitability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 — qualitative only</w:t>
            </w:r>
          </w:p>
        </w:tc>
      </w:tr>
      <w:tr>
        <w:tc>
          <w:tcPr>
            <w:tcW w:type="dxa" w:w="1080"/>
          </w:tcPr>
          <w:p>
            <w:r>
              <w:rPr>
                <w:rFonts w:ascii="Calibri" w:hAnsi="Calibri"/>
                <w:sz w:val="22"/>
              </w:rPr>
              <w:t>Operating EPS — Q4 FY2026</w:t>
            </w:r>
          </w:p>
        </w:tc>
        <w:tc>
          <w:tcPr>
            <w:tcW w:type="dxa" w:w="1080"/>
          </w:tcPr>
          <w:p>
            <w:r>
              <w:rPr>
                <w:rFonts w:ascii="Calibri" w:hAnsi="Calibri"/>
                <w:sz w:val="22"/>
              </w:rPr>
              <w:t>$0.240</w:t>
            </w:r>
          </w:p>
        </w:tc>
        <w:tc>
          <w:tcPr>
            <w:tcW w:type="dxa" w:w="1080"/>
          </w:tcPr>
          <w:p>
            <w:r>
              <w:rPr>
                <w:rFonts w:ascii="Calibri" w:hAnsi="Calibri"/>
                <w:sz w:val="22"/>
              </w:rPr>
              <w:t>$0.229</w:t>
            </w:r>
          </w:p>
        </w:tc>
        <w:tc>
          <w:tcPr>
            <w:tcW w:type="dxa" w:w="1080"/>
          </w:tcPr>
          <w:p>
            <w:r>
              <w:rPr>
                <w:rFonts w:ascii="Calibri" w:hAnsi="Calibri"/>
                <w:sz w:val="22"/>
              </w:rPr>
              <w:t>-4.6%</w:t>
            </w:r>
          </w:p>
        </w:tc>
        <w:tc>
          <w:tcPr>
            <w:tcW w:type="dxa" w:w="1080"/>
          </w:tcPr>
          <w:p>
            <w:r>
              <w:rPr>
                <w:rFonts w:ascii="Calibri" w:hAnsi="Calibri"/>
                <w:sz w:val="22"/>
              </w:rPr>
              <w:t>Qualitative: Record profitability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 — qualitative only</w:t>
            </w:r>
          </w:p>
        </w:tc>
      </w:tr>
      <w:tr>
        <w:tc>
          <w:tcPr>
            <w:tcW w:type="dxa" w:w="1080"/>
          </w:tcPr>
          <w:p>
            <w:r>
              <w:rPr>
                <w:rFonts w:ascii="Calibri" w:hAnsi="Calibri"/>
                <w:sz w:val="22"/>
              </w:rPr>
              <w:t>Operating EPS — FY2026</w:t>
            </w:r>
          </w:p>
        </w:tc>
        <w:tc>
          <w:tcPr>
            <w:tcW w:type="dxa" w:w="1080"/>
          </w:tcPr>
          <w:p>
            <w:r>
              <w:rPr>
                <w:rFonts w:ascii="Calibri" w:hAnsi="Calibri"/>
                <w:sz w:val="22"/>
              </w:rPr>
              <w:t>$1.018</w:t>
            </w:r>
          </w:p>
        </w:tc>
        <w:tc>
          <w:tcPr>
            <w:tcW w:type="dxa" w:w="1080"/>
          </w:tcPr>
          <w:p>
            <w:r>
              <w:rPr>
                <w:rFonts w:ascii="Calibri" w:hAnsi="Calibri"/>
                <w:sz w:val="22"/>
              </w:rPr>
              <w:t>$1.009</w:t>
            </w:r>
          </w:p>
        </w:tc>
        <w:tc>
          <w:tcPr>
            <w:tcW w:type="dxa" w:w="1080"/>
          </w:tcPr>
          <w:p>
            <w:r>
              <w:rPr>
                <w:rFonts w:ascii="Calibri" w:hAnsi="Calibri"/>
                <w:sz w:val="22"/>
              </w:rPr>
              <w:t>-0.9%</w:t>
            </w:r>
          </w:p>
        </w:tc>
        <w:tc>
          <w:tcPr>
            <w:tcW w:type="dxa" w:w="1080"/>
          </w:tcPr>
          <w:p>
            <w:r>
              <w:rPr>
                <w:rFonts w:ascii="Calibri" w:hAnsi="Calibri"/>
                <w:sz w:val="22"/>
              </w:rPr>
              <w:t>Qualitative: Record profitability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 — qualitative only</w:t>
            </w:r>
          </w:p>
        </w:tc>
      </w:tr>
      <w:tr>
        <w:tc>
          <w:tcPr>
            <w:tcW w:type="dxa" w:w="1080"/>
          </w:tcPr>
          <w:p>
            <w:r>
              <w:rPr>
                <w:rFonts w:ascii="Calibri" w:hAnsi="Calibri"/>
                <w:sz w:val="22"/>
              </w:rPr>
              <w:t>Total Segment EBITDA — Q4 FY2026</w:t>
            </w:r>
          </w:p>
        </w:tc>
        <w:tc>
          <w:tcPr>
            <w:tcW w:type="dxa" w:w="1080"/>
          </w:tcPr>
          <w:p>
            <w:r>
              <w:rPr>
                <w:rFonts w:ascii="Calibri" w:hAnsi="Calibri"/>
                <w:sz w:val="22"/>
              </w:rPr>
              <w:t>$378M</w:t>
            </w:r>
          </w:p>
        </w:tc>
        <w:tc>
          <w:tcPr>
            <w:tcW w:type="dxa" w:w="1080"/>
          </w:tcPr>
          <w:p>
            <w:r>
              <w:rPr>
                <w:rFonts w:ascii="Calibri" w:hAnsi="Calibri"/>
                <w:sz w:val="22"/>
              </w:rPr>
              <w:t>$373M</w:t>
            </w:r>
          </w:p>
        </w:tc>
        <w:tc>
          <w:tcPr>
            <w:tcW w:type="dxa" w:w="1080"/>
          </w:tcPr>
          <w:p>
            <w:r>
              <w:rPr>
                <w:rFonts w:ascii="Calibri" w:hAnsi="Calibri"/>
                <w:sz w:val="22"/>
              </w:rPr>
              <w:t>-1.3%</w:t>
            </w:r>
          </w:p>
        </w:tc>
        <w:tc>
          <w:tcPr>
            <w:tcW w:type="dxa" w:w="1080"/>
          </w:tcPr>
          <w:p>
            <w:r>
              <w:rPr>
                <w:rFonts w:ascii="Calibri" w:hAnsi="Calibri"/>
                <w:sz w:val="22"/>
              </w:rPr>
              <w:t>Qualitative: Record profitability; strong Q4 trends</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 — qualitative only</w:t>
            </w:r>
          </w:p>
        </w:tc>
      </w:tr>
      <w:tr>
        <w:tc>
          <w:tcPr>
            <w:tcW w:type="dxa" w:w="1080"/>
          </w:tcPr>
          <w:p>
            <w:r>
              <w:rPr>
                <w:rFonts w:ascii="Calibri" w:hAnsi="Calibri"/>
                <w:sz w:val="22"/>
              </w:rPr>
              <w:t>Total Segment EBITDA — FY2026</w:t>
            </w:r>
          </w:p>
        </w:tc>
        <w:tc>
          <w:tcPr>
            <w:tcW w:type="dxa" w:w="1080"/>
          </w:tcPr>
          <w:p>
            <w:r>
              <w:rPr>
                <w:rFonts w:ascii="Calibri" w:hAnsi="Calibri"/>
                <w:sz w:val="22"/>
              </w:rPr>
              <w:t>$1,583M</w:t>
            </w:r>
          </w:p>
        </w:tc>
        <w:tc>
          <w:tcPr>
            <w:tcW w:type="dxa" w:w="1080"/>
          </w:tcPr>
          <w:p>
            <w:r>
              <w:rPr>
                <w:rFonts w:ascii="Calibri" w:hAnsi="Calibri"/>
                <w:sz w:val="22"/>
              </w:rPr>
              <w:t>$1,579M</w:t>
            </w:r>
          </w:p>
        </w:tc>
        <w:tc>
          <w:tcPr>
            <w:tcW w:type="dxa" w:w="1080"/>
          </w:tcPr>
          <w:p>
            <w:r>
              <w:rPr>
                <w:rFonts w:ascii="Calibri" w:hAnsi="Calibri"/>
                <w:sz w:val="22"/>
              </w:rPr>
              <w:t>-0.3%</w:t>
            </w:r>
          </w:p>
        </w:tc>
        <w:tc>
          <w:tcPr>
            <w:tcW w:type="dxa" w:w="1080"/>
          </w:tcPr>
          <w:p>
            <w:r>
              <w:rPr>
                <w:rFonts w:ascii="Calibri" w:hAnsi="Calibri"/>
                <w:sz w:val="22"/>
              </w:rPr>
              <w:t>Qualitative: Record profitability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 — qualitative only</w:t>
            </w:r>
          </w:p>
        </w:tc>
      </w:tr>
      <w:tr>
        <w:tc>
          <w:tcPr>
            <w:tcW w:type="dxa" w:w="1080"/>
          </w:tcPr>
          <w:p>
            <w:r>
              <w:rPr>
                <w:rFonts w:ascii="Calibri" w:hAnsi="Calibri"/>
                <w:sz w:val="22"/>
              </w:rPr>
              <w:t>Dow Jones Revenue — Q4 FY2026</w:t>
            </w:r>
          </w:p>
        </w:tc>
        <w:tc>
          <w:tcPr>
            <w:tcW w:type="dxa" w:w="1080"/>
          </w:tcPr>
          <w:p>
            <w:r>
              <w:rPr>
                <w:rFonts w:ascii="Calibri" w:hAnsi="Calibri"/>
                <w:sz w:val="22"/>
              </w:rPr>
              <w:t>$640M</w:t>
            </w:r>
          </w:p>
        </w:tc>
        <w:tc>
          <w:tcPr>
            <w:tcW w:type="dxa" w:w="1080"/>
          </w:tcPr>
          <w:p>
            <w:r>
              <w:rPr>
                <w:rFonts w:ascii="Calibri" w:hAnsi="Calibri"/>
                <w:sz w:val="22"/>
              </w:rPr>
              <w:t>$640M</w:t>
            </w:r>
          </w:p>
        </w:tc>
        <w:tc>
          <w:tcPr>
            <w:tcW w:type="dxa" w:w="1080"/>
          </w:tcPr>
          <w:p>
            <w:r>
              <w:rPr>
                <w:rFonts w:ascii="Calibri" w:hAnsi="Calibri"/>
                <w:sz w:val="22"/>
              </w:rPr>
              <w:t>0.0%</w:t>
            </w:r>
          </w:p>
        </w:tc>
        <w:tc>
          <w:tcPr>
            <w:tcW w:type="dxa" w:w="1080"/>
          </w:tcPr>
          <w:p>
            <w:r>
              <w:rPr>
                <w:rFonts w:ascii="Calibri" w:hAnsi="Calibri"/>
                <w:sz w:val="22"/>
              </w:rPr>
              <w:t>Qualitative: “Continued strong revenue performance”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 — qualitative only</w:t>
            </w:r>
          </w:p>
        </w:tc>
      </w:tr>
      <w:tr>
        <w:tc>
          <w:tcPr>
            <w:tcW w:type="dxa" w:w="1080"/>
          </w:tcPr>
          <w:p>
            <w:r>
              <w:rPr>
                <w:rFonts w:ascii="Calibri" w:hAnsi="Calibri"/>
                <w:sz w:val="22"/>
              </w:rPr>
              <w:t>Dow Jones Revenue — FY2026</w:t>
            </w:r>
          </w:p>
        </w:tc>
        <w:tc>
          <w:tcPr>
            <w:tcW w:type="dxa" w:w="1080"/>
          </w:tcPr>
          <w:p>
            <w:r>
              <w:rPr>
                <w:rFonts w:ascii="Calibri" w:hAnsi="Calibri"/>
                <w:sz w:val="22"/>
              </w:rPr>
              <w:t>$2,492M</w:t>
            </w:r>
          </w:p>
        </w:tc>
        <w:tc>
          <w:tcPr>
            <w:tcW w:type="dxa" w:w="1080"/>
          </w:tcPr>
          <w:p>
            <w:r>
              <w:rPr>
                <w:rFonts w:ascii="Calibri" w:hAnsi="Calibri"/>
                <w:sz w:val="22"/>
              </w:rPr>
              <w:t>$2,492M</w:t>
            </w:r>
          </w:p>
        </w:tc>
        <w:tc>
          <w:tcPr>
            <w:tcW w:type="dxa" w:w="1080"/>
          </w:tcPr>
          <w:p>
            <w:r>
              <w:rPr>
                <w:rFonts w:ascii="Calibri" w:hAnsi="Calibri"/>
                <w:sz w:val="22"/>
              </w:rPr>
              <w:t>0.0%</w:t>
            </w:r>
          </w:p>
        </w:tc>
        <w:tc>
          <w:tcPr>
            <w:tcW w:type="dxa" w:w="1080"/>
          </w:tcPr>
          <w:p>
            <w:r>
              <w:rPr>
                <w:rFonts w:ascii="Calibri" w:hAnsi="Calibri"/>
                <w:sz w:val="22"/>
              </w:rPr>
              <w:t>Qualitative: Path to $1B EBITDA in 5 years</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 — qualitative only</w:t>
            </w:r>
          </w:p>
        </w:tc>
      </w:tr>
      <w:tr>
        <w:tc>
          <w:tcPr>
            <w:tcW w:type="dxa" w:w="1080"/>
          </w:tcPr>
          <w:p>
            <w:r>
              <w:rPr>
                <w:rFonts w:ascii="Calibri" w:hAnsi="Calibri"/>
                <w:sz w:val="22"/>
              </w:rPr>
              <w:t>Digital Real Estate Services Revenue — Q4 FY2026</w:t>
            </w:r>
          </w:p>
        </w:tc>
        <w:tc>
          <w:tcPr>
            <w:tcW w:type="dxa" w:w="1080"/>
          </w:tcPr>
          <w:p>
            <w:r>
              <w:rPr>
                <w:rFonts w:ascii="Calibri" w:hAnsi="Calibri"/>
                <w:sz w:val="22"/>
              </w:rPr>
              <w:t>$536M</w:t>
            </w:r>
          </w:p>
        </w:tc>
        <w:tc>
          <w:tcPr>
            <w:tcW w:type="dxa" w:w="1080"/>
          </w:tcPr>
          <w:p>
            <w:r>
              <w:rPr>
                <w:rFonts w:ascii="Calibri" w:hAnsi="Calibri"/>
                <w:sz w:val="22"/>
              </w:rPr>
              <w:t>$536M</w:t>
            </w:r>
          </w:p>
        </w:tc>
        <w:tc>
          <w:tcPr>
            <w:tcW w:type="dxa" w:w="1080"/>
          </w:tcPr>
          <w:p>
            <w:r>
              <w:rPr>
                <w:rFonts w:ascii="Calibri" w:hAnsi="Calibri"/>
                <w:sz w:val="22"/>
              </w:rPr>
              <w:t>0.0%</w:t>
            </w:r>
          </w:p>
        </w:tc>
        <w:tc>
          <w:tcPr>
            <w:tcW w:type="dxa" w:w="1080"/>
          </w:tcPr>
          <w:p>
            <w:r>
              <w:rPr>
                <w:rFonts w:ascii="Calibri" w:hAnsi="Calibri"/>
                <w:sz w:val="22"/>
              </w:rPr>
              <w:t>Qualitative: Continued improvement; mortgage rate risk flagged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 — qualitative only</w:t>
            </w:r>
          </w:p>
        </w:tc>
      </w:tr>
    </w:tbl>
    <w:p>
      <w:r>
        <w:rPr>
          <w:rFonts w:ascii="Calibri" w:hAnsi="Calibri"/>
          <w:i/>
          <w:color w:val="525866"/>
          <w:sz w:val="22"/>
        </w:rPr>
        <w:t>Source: Visible Alpha Consensus and Actuals Data. Post-Q3 baseline uses consensus as of May 14, 2026 (approximately 5 trading days after the May 7 earnings release). Current consensus as of August 4, 2026. The modest downward drift in operating EPS (-4.6% for Q4) reflects some conservatism being baked in post-Q3, but the revenue and EBITDA lines are essentially unchanged, suggesting the street is not aggressively raising or cutting the bar.</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NWS has outperformed the S&amp;P 500 since last earnings (+3.0% vs. +5.1% for SPY) but has significantly outperformed XLC (-4.6%), driven primarily by fundamental execution and buyback support rather than multiple expansion — the stock has not re-rated, suggesting the market remains skeptical of the full transformation story.</w:t>
      </w:r>
    </w:p>
    <w:p>
      <w:r>
        <w:rPr>
          <w:rFonts w:ascii="Calibri" w:hAnsi="Calibri"/>
          <w:color w:val="525866"/>
          <w:sz w:val="22"/>
        </w:rPr>
        <w:t>Since the Q3 FY2026 earnings close on May 7, 2026 ($30.85), NWS traded to a high of ~$32.64 (July 29) before pulling back to $31.79 as of August 3, 2026 — a net gain of approximately +3.0%. The S&amp;P 500 (SPY) gained approximately +3.6% over the same period (from $731.58 to $757.67), while XLC declined approximately -5.1% (from $117.38 to $111.34), reflecting sector-level pressure on communication services names. NWS’s relative outperformance vs. XLC is notable and reflects the company’s differentiated B2B/digital transformation story, ongoing buyback support ($459M YTD through Q3), and positive AI licensing narrative. The stock dipped to a low of ~$27.92 in late June (June 22) before recovering sharply in July, likely driven by the broader market recovery and continued buyback activity. No material post-earnings guidance updates or 8-K filings beyond routine ASX buyback disclosures were filed in the period.</w:t>
      </w:r>
    </w:p>
    <w:p>
      <w:r>
        <w:rPr>
          <w:rFonts w:ascii="Calibri" w:hAnsi="Calibri"/>
          <w:b/>
          <w:color w:val="525866"/>
          <w:sz w:val="22"/>
        </w:rPr>
        <w:t>Indexed Performance Since Last Earnings (May 7, 2026 = 100):</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NWS (Indexed)</w:t>
            </w:r>
          </w:p>
        </w:tc>
        <w:tc>
          <w:tcPr>
            <w:tcW w:type="dxa" w:w="2160"/>
            <w:shd w:val="clear" w:color="auto" w:fill="3B4259"/>
          </w:tcPr>
          <w:p>
            <w:r>
              <w:rPr>
                <w:rFonts w:ascii="Calibri" w:hAnsi="Calibri"/>
                <w:b/>
                <w:color w:val="FFFFFF"/>
                <w:sz w:val="22"/>
              </w:rPr>
              <w:t>XLC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May 7, 2026 (Earnings Day)</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May 29, 2026</w:t>
            </w:r>
          </w:p>
        </w:tc>
        <w:tc>
          <w:tcPr>
            <w:tcW w:type="dxa" w:w="2160"/>
          </w:tcPr>
          <w:p>
            <w:r>
              <w:rPr>
                <w:rFonts w:ascii="Calibri" w:hAnsi="Calibri"/>
                <w:sz w:val="22"/>
              </w:rPr>
              <w:t>96.7</w:t>
            </w:r>
          </w:p>
        </w:tc>
        <w:tc>
          <w:tcPr>
            <w:tcW w:type="dxa" w:w="2160"/>
          </w:tcPr>
          <w:p>
            <w:r>
              <w:rPr>
                <w:rFonts w:ascii="Calibri" w:hAnsi="Calibri"/>
                <w:sz w:val="22"/>
              </w:rPr>
              <w:t>98.6</w:t>
            </w:r>
          </w:p>
        </w:tc>
        <w:tc>
          <w:tcPr>
            <w:tcW w:type="dxa" w:w="2160"/>
          </w:tcPr>
          <w:p>
            <w:r>
              <w:rPr>
                <w:rFonts w:ascii="Calibri" w:hAnsi="Calibri"/>
                <w:sz w:val="22"/>
              </w:rPr>
              <w:t>103.4</w:t>
            </w:r>
          </w:p>
        </w:tc>
      </w:tr>
      <w:tr>
        <w:tc>
          <w:tcPr>
            <w:tcW w:type="dxa" w:w="2160"/>
          </w:tcPr>
          <w:p>
            <w:r>
              <w:rPr>
                <w:rFonts w:ascii="Calibri" w:hAnsi="Calibri"/>
                <w:sz w:val="22"/>
              </w:rPr>
              <w:t>Jun 22, 2026 (Trough)</w:t>
            </w:r>
          </w:p>
        </w:tc>
        <w:tc>
          <w:tcPr>
            <w:tcW w:type="dxa" w:w="2160"/>
          </w:tcPr>
          <w:p>
            <w:r>
              <w:rPr>
                <w:rFonts w:ascii="Calibri" w:hAnsi="Calibri"/>
                <w:sz w:val="22"/>
              </w:rPr>
              <w:t>90.5</w:t>
            </w:r>
          </w:p>
        </w:tc>
        <w:tc>
          <w:tcPr>
            <w:tcW w:type="dxa" w:w="2160"/>
          </w:tcPr>
          <w:p>
            <w:r>
              <w:rPr>
                <w:rFonts w:ascii="Calibri" w:hAnsi="Calibri"/>
                <w:sz w:val="22"/>
              </w:rPr>
              <w:t>91.0</w:t>
            </w:r>
          </w:p>
        </w:tc>
        <w:tc>
          <w:tcPr>
            <w:tcW w:type="dxa" w:w="2160"/>
          </w:tcPr>
          <w:p>
            <w:r>
              <w:rPr>
                <w:rFonts w:ascii="Calibri" w:hAnsi="Calibri"/>
                <w:sz w:val="22"/>
              </w:rPr>
              <w:t>101.7</w:t>
            </w:r>
          </w:p>
        </w:tc>
      </w:tr>
      <w:tr>
        <w:tc>
          <w:tcPr>
            <w:tcW w:type="dxa" w:w="2160"/>
          </w:tcPr>
          <w:p>
            <w:r>
              <w:rPr>
                <w:rFonts w:ascii="Calibri" w:hAnsi="Calibri"/>
                <w:sz w:val="22"/>
              </w:rPr>
              <w:t>Jun 30, 2026</w:t>
            </w:r>
          </w:p>
        </w:tc>
        <w:tc>
          <w:tcPr>
            <w:tcW w:type="dxa" w:w="2160"/>
          </w:tcPr>
          <w:p>
            <w:r>
              <w:rPr>
                <w:rFonts w:ascii="Calibri" w:hAnsi="Calibri"/>
                <w:sz w:val="22"/>
              </w:rPr>
              <w:t>90.9</w:t>
            </w:r>
          </w:p>
        </w:tc>
        <w:tc>
          <w:tcPr>
            <w:tcW w:type="dxa" w:w="2160"/>
          </w:tcPr>
          <w:p>
            <w:r>
              <w:rPr>
                <w:rFonts w:ascii="Calibri" w:hAnsi="Calibri"/>
                <w:sz w:val="22"/>
              </w:rPr>
              <w:t>91.3</w:t>
            </w:r>
          </w:p>
        </w:tc>
        <w:tc>
          <w:tcPr>
            <w:tcW w:type="dxa" w:w="2160"/>
          </w:tcPr>
          <w:p>
            <w:r>
              <w:rPr>
                <w:rFonts w:ascii="Calibri" w:hAnsi="Calibri"/>
                <w:sz w:val="22"/>
              </w:rPr>
              <w:t>102.1</w:t>
            </w:r>
          </w:p>
        </w:tc>
      </w:tr>
      <w:tr>
        <w:tc>
          <w:tcPr>
            <w:tcW w:type="dxa" w:w="2160"/>
          </w:tcPr>
          <w:p>
            <w:r>
              <w:rPr>
                <w:rFonts w:ascii="Calibri" w:hAnsi="Calibri"/>
                <w:sz w:val="22"/>
              </w:rPr>
              <w:t>Jul 16, 2026 (Peak)</w:t>
            </w:r>
          </w:p>
        </w:tc>
        <w:tc>
          <w:tcPr>
            <w:tcW w:type="dxa" w:w="2160"/>
          </w:tcPr>
          <w:p>
            <w:r>
              <w:rPr>
                <w:rFonts w:ascii="Calibri" w:hAnsi="Calibri"/>
                <w:sz w:val="22"/>
              </w:rPr>
              <w:t>105.5</w:t>
            </w:r>
          </w:p>
        </w:tc>
        <w:tc>
          <w:tcPr>
            <w:tcW w:type="dxa" w:w="2160"/>
          </w:tcPr>
          <w:p>
            <w:r>
              <w:rPr>
                <w:rFonts w:ascii="Calibri" w:hAnsi="Calibri"/>
                <w:sz w:val="22"/>
              </w:rPr>
              <w:t>96.0</w:t>
            </w:r>
          </w:p>
        </w:tc>
        <w:tc>
          <w:tcPr>
            <w:tcW w:type="dxa" w:w="2160"/>
          </w:tcPr>
          <w:p>
            <w:r>
              <w:rPr>
                <w:rFonts w:ascii="Calibri" w:hAnsi="Calibri"/>
                <w:sz w:val="22"/>
              </w:rPr>
              <w:t>102.6</w:t>
            </w:r>
          </w:p>
        </w:tc>
      </w:tr>
      <w:tr>
        <w:tc>
          <w:tcPr>
            <w:tcW w:type="dxa" w:w="2160"/>
          </w:tcPr>
          <w:p>
            <w:r>
              <w:rPr>
                <w:rFonts w:ascii="Calibri" w:hAnsi="Calibri"/>
                <w:sz w:val="22"/>
              </w:rPr>
              <w:t>Aug 3, 2026</w:t>
            </w:r>
          </w:p>
        </w:tc>
        <w:tc>
          <w:tcPr>
            <w:tcW w:type="dxa" w:w="2160"/>
          </w:tcPr>
          <w:p>
            <w:r>
              <w:rPr>
                <w:rFonts w:ascii="Calibri" w:hAnsi="Calibri"/>
                <w:sz w:val="22"/>
              </w:rPr>
              <w:t>103.0</w:t>
            </w:r>
          </w:p>
        </w:tc>
        <w:tc>
          <w:tcPr>
            <w:tcW w:type="dxa" w:w="2160"/>
          </w:tcPr>
          <w:p>
            <w:r>
              <w:rPr>
                <w:rFonts w:ascii="Calibri" w:hAnsi="Calibri"/>
                <w:sz w:val="22"/>
              </w:rPr>
              <w:t>94.9</w:t>
            </w:r>
          </w:p>
        </w:tc>
        <w:tc>
          <w:tcPr>
            <w:tcW w:type="dxa" w:w="2160"/>
          </w:tcPr>
          <w:p>
            <w:r>
              <w:rPr>
                <w:rFonts w:ascii="Calibri" w:hAnsi="Calibri"/>
                <w:sz w:val="22"/>
              </w:rPr>
              <w:t>103.6</w:t>
            </w:r>
          </w:p>
        </w:tc>
      </w:tr>
    </w:tbl>
    <w:p>
      <w:r>
        <w:rPr>
          <w:rFonts w:ascii="Calibri" w:hAnsi="Calibri"/>
          <w:i/>
          <w:color w:val="525866"/>
          <w:sz w:val="22"/>
        </w:rPr>
        <w:t>Source: Yahoo Finance / Stock Price Data. NWS close prices used. XLC = Communication Services Select Sector SPDR ETF (appropriate benchmark for NWS given its media/digital classification). SPY = S&amp;P 500 ETF. All indexed to 100 at May 7, 2026 close.</w:t>
      </w:r>
    </w:p>
    <w:p>
      <w:r>
        <w:rPr>
          <w:rFonts w:ascii="Calibri" w:hAnsi="Calibri"/>
          <w:b/>
          <w:color w:val="525866"/>
          <w:sz w:val="22"/>
        </w:rPr>
        <w:t>Key Events Since Last Earnings:</w:t>
      </w:r>
    </w:p>
    <w:p>
      <w:pPr>
        <w:pStyle w:val="ListBullet"/>
        <w:ind w:left="360" w:hanging="360"/>
      </w:pPr>
      <w:r>
        <w:rPr>
          <w:rFonts w:ascii="Calibri" w:hAnsi="Calibri"/>
          <w:b/>
          <w:color w:val="525866"/>
          <w:sz w:val="22"/>
        </w:rPr>
        <w:t>May 7, 2026:</w:t>
      </w:r>
      <w:r>
        <w:rPr>
          <w:rFonts w:ascii="Calibri" w:hAnsi="Calibri"/>
          <w:color w:val="525866"/>
          <w:sz w:val="22"/>
        </w:rPr>
        <w:t xml:space="preserve"> Q3 FY2026 earnings — beat on EBITDA and EPS; stock essentially flat in aftermarket.</w:t>
      </w:r>
    </w:p>
    <w:p>
      <w:pPr>
        <w:pStyle w:val="ListBullet"/>
        <w:ind w:left="360" w:hanging="360"/>
      </w:pPr>
      <w:r>
        <w:rPr>
          <w:rFonts w:ascii="Calibri" w:hAnsi="Calibri"/>
          <w:b/>
          <w:color w:val="525866"/>
          <w:sz w:val="22"/>
        </w:rPr>
        <w:t>Late June 2026:</w:t>
      </w:r>
      <w:r>
        <w:rPr>
          <w:rFonts w:ascii="Calibri" w:hAnsi="Calibri"/>
          <w:color w:val="525866"/>
          <w:sz w:val="22"/>
        </w:rPr>
        <w:t xml:space="preserve"> NWS dipped to ~$27.92 (Jun 22) alongside broader XLC sector weakness; no company-specific catalyst.</w:t>
      </w:r>
    </w:p>
    <w:p>
      <w:pPr>
        <w:pStyle w:val="ListBullet"/>
        <w:ind w:left="360" w:hanging="360"/>
      </w:pPr>
      <w:r>
        <w:rPr>
          <w:rFonts w:ascii="Calibri" w:hAnsi="Calibri"/>
          <w:b/>
          <w:color w:val="525866"/>
          <w:sz w:val="22"/>
        </w:rPr>
        <w:t>July 2026:</w:t>
      </w:r>
      <w:r>
        <w:rPr>
          <w:rFonts w:ascii="Calibri" w:hAnsi="Calibri"/>
          <w:color w:val="525866"/>
          <w:sz w:val="22"/>
        </w:rPr>
        <w:t xml:space="preserve"> Sharp recovery to $32.54 (Jul 16) — coincided with broader market recovery and continued daily ASX buyback disclosures confirming ongoing $1B program execution.</w:t>
      </w:r>
    </w:p>
    <w:p>
      <w:pPr>
        <w:pStyle w:val="ListBullet"/>
        <w:ind w:left="360" w:hanging="360"/>
      </w:pPr>
      <w:r>
        <w:rPr>
          <w:rFonts w:ascii="Calibri" w:hAnsi="Calibri"/>
          <w:b/>
          <w:color w:val="525866"/>
          <w:sz w:val="22"/>
        </w:rPr>
        <w:t>Aug 3–4, 2026:</w:t>
      </w:r>
      <w:r>
        <w:rPr>
          <w:rFonts w:ascii="Calibri" w:hAnsi="Calibri"/>
          <w:color w:val="525866"/>
          <w:sz w:val="22"/>
        </w:rPr>
        <w:t xml:space="preserve"> Stock at $31.79–$31.27, consolidating ahead of Q4 print.</w:t>
      </w:r>
    </w:p>
    <w:p>
      <w:r>
        <w:br w:type="page"/>
      </w:r>
    </w:p>
    <w:p>
      <w:pPr>
        <w:pStyle w:val="Heading1"/>
        <w:pBdr>
          <w:bottom w:val="single" w:sz="4" w:space="1" w:color="FB9120"/>
        </w:pBdr>
      </w:pPr>
      <w:r>
        <w:rPr>
          <w:rFonts w:ascii="Calibri" w:hAnsi="Calibri"/>
          <w:b/>
          <w:color w:val="3B4259"/>
          <w:sz w:val="40"/>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last earnings is the continued acceleration of the AI licensing strategy (Meta deal, Anthropic settlement, ongoing negotiations), which represents unmodeled upside to consensus; the secondary risk is the re-acceleration of mortgage rates to 14-month highs, which directly pressures Realtor.com’s Q4 trajectory.</w:t>
      </w:r>
    </w:p>
    <w:p>
      <w:pPr>
        <w:pStyle w:val="ListBullet"/>
        <w:ind w:left="360" w:hanging="360"/>
      </w:pPr>
      <w:r>
        <w:rPr>
          <w:rFonts w:ascii="Calibri" w:hAnsi="Calibri"/>
          <w:b/>
          <w:color w:val="525866"/>
          <w:sz w:val="22"/>
        </w:rPr>
        <w:t>May 7, 2026 — Meta AI Licensing Deal Announced:</w:t>
      </w:r>
      <w:r>
        <w:rPr>
          <w:rFonts w:ascii="Calibri" w:hAnsi="Calibri"/>
          <w:color w:val="525866"/>
          <w:sz w:val="22"/>
        </w:rPr>
        <w:t xml:space="preserve"> News Corp announced a new AI content licensing agreement with Meta, complementing the existing OpenAI partnership. CEO Thomson described NWS as “an AI inputs company” and confirmed “several further” negotiations in progress. Implication: Unmodeled revenue upside; any Q4 contribution or new deal announcement would be a positive surprise.</w:t>
      </w:r>
    </w:p>
    <w:p>
      <w:pPr>
        <w:pStyle w:val="ListBullet"/>
        <w:ind w:left="360" w:hanging="360"/>
      </w:pPr>
      <w:r>
        <w:rPr>
          <w:rFonts w:ascii="Calibri" w:hAnsi="Calibri"/>
          <w:b/>
          <w:color w:val="525866"/>
          <w:sz w:val="22"/>
        </w:rPr>
        <w:t>May 7, 2026 — Anthropic Settlement Proceeds:</w:t>
      </w:r>
      <w:r>
        <w:rPr>
          <w:rFonts w:ascii="Calibri" w:hAnsi="Calibri"/>
          <w:color w:val="525866"/>
          <w:sz w:val="22"/>
        </w:rPr>
        <w:t xml:space="preserve"> Management confirmed NWS expects to receive its share of the $1.5B Anthropic settlement “later this calendar year” (i.e., H2 CY2026, which includes Q4 FY2026 ending June 30). Implication: Potential one-time revenue/cash benefit in Q4 FY2026 or Q1 FY2027.</w:t>
      </w:r>
    </w:p>
    <w:p>
      <w:pPr>
        <w:pStyle w:val="ListBullet"/>
        <w:ind w:left="360" w:hanging="360"/>
      </w:pPr>
      <w:r>
        <w:rPr>
          <w:rFonts w:ascii="Calibri" w:hAnsi="Calibri"/>
          <w:b/>
          <w:color w:val="525866"/>
          <w:sz w:val="22"/>
        </w:rPr>
        <w:t>May 7, 2026 — Realtor.com / OpenAI Partnership:</w:t>
      </w:r>
      <w:r>
        <w:rPr>
          <w:rFonts w:ascii="Calibri" w:hAnsi="Calibri"/>
          <w:color w:val="525866"/>
          <w:sz w:val="22"/>
        </w:rPr>
        <w:t xml:space="preserve"> Realtor.com launched its app in ChatGPT and partnered with OpenAI for AI-enhanced buyer/seller/realtor experience. Implication: Positive for long-term engagement and differentiation; near-term revenue impact limited.</w:t>
      </w:r>
    </w:p>
    <w:p>
      <w:pPr>
        <w:pStyle w:val="ListBullet"/>
        <w:ind w:left="360" w:hanging="360"/>
      </w:pPr>
      <w:r>
        <w:rPr>
          <w:rFonts w:ascii="Calibri" w:hAnsi="Calibri"/>
          <w:b/>
          <w:color w:val="525866"/>
          <w:sz w:val="22"/>
        </w:rPr>
        <w:t>March 16, 2026 — Dow Jones Investor Day (referenced on Q3 call):</w:t>
      </w:r>
      <w:r>
        <w:rPr>
          <w:rFonts w:ascii="Calibri" w:hAnsi="Calibri"/>
          <w:color w:val="525866"/>
          <w:sz w:val="22"/>
        </w:rPr>
        <w:t xml:space="preserve"> Management articulated a clear path to $1B in annual Dow Jones segment EBITDA within five years, driven by Risk &amp; Compliance and Dow Jones Energy. Implication: Structural re-rating catalyst for the B2B segment; sets a high bar for Q4 Dow Jones execution.</w:t>
      </w:r>
    </w:p>
    <w:p>
      <w:pPr>
        <w:pStyle w:val="ListBullet"/>
        <w:ind w:left="360" w:hanging="360"/>
      </w:pPr>
      <w:r>
        <w:rPr>
          <w:rFonts w:ascii="Calibri" w:hAnsi="Calibri"/>
          <w:b/>
          <w:color w:val="525866"/>
          <w:sz w:val="22"/>
        </w:rPr>
        <w:t>July 2026 — Mortgage Rates Re-Accelerate:</w:t>
      </w:r>
      <w:r>
        <w:rPr>
          <w:rFonts w:ascii="Calibri" w:hAnsi="Calibri"/>
          <w:color w:val="525866"/>
          <w:sz w:val="22"/>
        </w:rPr>
        <w:t xml:space="preserve"> Per Redfin (July 30, 2026), the daily average 30-year fixed mortgage rate rose to 6.85% — the highest level in over a year — driven by inflation concerns and geopolitical tensions. Pending home sales fell to their lowest level since early April. Implication: Direct headwind to Realtor.com Q4 revenue; management had pre-flagged this risk on the Q3 call.</w:t>
      </w:r>
    </w:p>
    <w:p>
      <w:pPr>
        <w:pStyle w:val="ListBullet"/>
        <w:ind w:left="360" w:hanging="360"/>
      </w:pPr>
      <w:r>
        <w:rPr>
          <w:rFonts w:ascii="Calibri" w:hAnsi="Calibri"/>
          <w:b/>
          <w:color w:val="525866"/>
          <w:sz w:val="22"/>
        </w:rPr>
        <w:t>July 13, 2026 — Redfin: Home Prices Hit All-Time High:</w:t>
      </w:r>
      <w:r>
        <w:rPr>
          <w:rFonts w:ascii="Calibri" w:hAnsi="Calibri"/>
          <w:color w:val="525866"/>
          <w:sz w:val="22"/>
        </w:rPr>
        <w:t xml:space="preserve"> Median U.S. home-sale price rose 2.2% YoY to a record $408,776 in June; existing home sales ticked up to 4.4M SAAR (highest since Nov 2022). Implication: Mixed for Realtor.com — higher prices support yield per transaction, but affordability constraints limit volume recovery.</w:t>
      </w:r>
    </w:p>
    <w:p>
      <w:pPr>
        <w:pStyle w:val="ListBullet"/>
        <w:ind w:left="360" w:hanging="360"/>
      </w:pPr>
      <w:r>
        <w:rPr>
          <w:rFonts w:ascii="Calibri" w:hAnsi="Calibri"/>
          <w:b/>
          <w:color w:val="525866"/>
          <w:sz w:val="22"/>
        </w:rPr>
        <w:t>July 7, 2026 — Zillow June Market Report:</w:t>
      </w:r>
      <w:r>
        <w:rPr>
          <w:rFonts w:ascii="Calibri" w:hAnsi="Calibri"/>
          <w:color w:val="525866"/>
          <w:sz w:val="22"/>
        </w:rPr>
        <w:t xml:space="preserve"> Home sales jumped 5.9% YoY in June, reversing May’s decline; new listings grew 3% annually. Implication: Modest positive for Realtor.com Q4 (June is in Q4 FY2026); suggests some sequential improvement in transaction activity.</w:t>
      </w:r>
    </w:p>
    <w:p>
      <w:pPr>
        <w:pStyle w:val="ListBullet"/>
        <w:ind w:left="360" w:hanging="360"/>
      </w:pPr>
      <w:r>
        <w:rPr>
          <w:rFonts w:ascii="Calibri" w:hAnsi="Calibri"/>
          <w:b/>
          <w:color w:val="525866"/>
          <w:sz w:val="22"/>
        </w:rPr>
        <w:t>July 24, 2026 — Zillow: New Home Sales Weakest Since 2017:</w:t>
      </w:r>
      <w:r>
        <w:rPr>
          <w:rFonts w:ascii="Calibri" w:hAnsi="Calibri"/>
          <w:color w:val="525866"/>
          <w:sz w:val="22"/>
        </w:rPr>
        <w:t xml:space="preserve"> New single-family home sales running at weakest year-to-date pace since 2017; higher mortgage rates and soft household formation cited. Implication: Headwind to Realtor.com’s new homes adjacency revenue.</w:t>
      </w:r>
    </w:p>
    <w:p>
      <w:pPr>
        <w:pStyle w:val="ListBullet"/>
        <w:ind w:left="360" w:hanging="360"/>
      </w:pPr>
      <w:r>
        <w:rPr>
          <w:rFonts w:ascii="Calibri" w:hAnsi="Calibri"/>
          <w:b/>
          <w:color w:val="525866"/>
          <w:sz w:val="22"/>
        </w:rPr>
        <w:t>July–August 2026 — Ongoing $1B Share Buyback Execution:</w:t>
      </w:r>
      <w:r>
        <w:rPr>
          <w:rFonts w:ascii="Calibri" w:hAnsi="Calibri"/>
          <w:color w:val="525866"/>
          <w:sz w:val="22"/>
        </w:rPr>
        <w:t xml:space="preserve"> Daily ASX buyback disclosures filed through August 3, 2026 confirm continued execution of the $1B program. $459M repurchased YTD through Q3; pace implies Q4 repurchases of ~$150–200M+. Implication: Meaningful EPS accretion and signal of management’s conviction in undervaluation.</w:t>
      </w:r>
    </w:p>
    <w:p>
      <w:pPr>
        <w:pStyle w:val="ListBullet"/>
        <w:ind w:left="360" w:hanging="360"/>
      </w:pPr>
      <w:r>
        <w:rPr>
          <w:rFonts w:ascii="Calibri" w:hAnsi="Calibri"/>
          <w:b/>
          <w:color w:val="525866"/>
          <w:sz w:val="22"/>
        </w:rPr>
        <w:t>July 2026 — Perplexity AI Litigation Advancing:</w:t>
      </w:r>
      <w:r>
        <w:rPr>
          <w:rFonts w:ascii="Calibri" w:hAnsi="Calibri"/>
          <w:color w:val="525866"/>
          <w:sz w:val="22"/>
        </w:rPr>
        <w:t xml:space="preserve"> Management noted on the Q3 call that discovery in the Perplexity lawsuit is advancing and they are “tracking a number of dodgy digital firms scraping illicitly” content. Implication: Potential additional licensing revenue or settlement proceeds; litigation risk is manageable given NWS’s IP posture.</w:t>
      </w:r>
    </w:p>
    <w:p>
      <w:r>
        <w:br w:type="page"/>
      </w:r>
    </w:p>
    <w:p>
      <w:pPr>
        <w:pStyle w:val="Heading1"/>
        <w:pBdr>
          <w:bottom w:val="single" w:sz="4" w:space="1" w:color="FB9120"/>
        </w:pBdr>
      </w:pPr>
      <w:r>
        <w:rPr>
          <w:rFonts w:ascii="Calibri" w:hAnsi="Calibri"/>
          <w:b/>
          <w:color w:val="3B4259"/>
          <w:sz w:val="40"/>
        </w:rPr>
        <w:t>7. Peer Commentary &amp; Read-Throughs</w:t>
      </w:r>
    </w:p>
    <w:p>
      <w:r>
        <w:rPr>
          <w:rFonts w:ascii="Calibri" w:hAnsi="Calibri"/>
          <w:b/>
          <w:color w:val="525866"/>
          <w:sz w:val="22"/>
        </w:rPr>
        <w:t xml:space="preserve">Key Takeaway: </w:t>
      </w:r>
      <w:r>
        <w:rPr>
          <w:rFonts w:ascii="Calibri" w:hAnsi="Calibri"/>
          <w:color w:val="525866"/>
          <w:sz w:val="22"/>
        </w:rPr>
        <w:t>Peer commentary from the trailing 60 days is mixed but directionally informative — the U.S. housing market showed a brief June improvement before re-deteriorating in July (negative for Realtor.com Q4), while Opendoor’s Q2 2026 results confirm the market remains “one of the most challenging in decades” even as transaction volumes are recovering from lows.</w:t>
      </w:r>
    </w:p>
    <w:p>
      <w:r>
        <w:rPr>
          <w:rFonts w:ascii="Calibri" w:hAnsi="Calibri"/>
          <w:b/>
          <w:color w:val="525866"/>
          <w:sz w:val="22"/>
        </w:rPr>
        <w:t xml:space="preserve">Note: </w:t>
      </w:r>
      <w:r>
        <w:rPr>
          <w:rFonts w:ascii="Calibri" w:hAnsi="Calibri"/>
          <w:i/>
          <w:color w:val="525866"/>
          <w:sz w:val="22"/>
        </w:rPr>
        <w:t>Only commentary and data published in the trailing 60 days (approximately June 5 – August 4, 2026) that speaks directly to NWS’s current reporting quarter (Q4 FY2026, ending June 30, 2026) or the near-term outlook is included below. Stale commentary about peers’ own prior-period results has been excluded.</w:t>
      </w:r>
    </w:p>
    <w:p>
      <w:pPr>
        <w:pStyle w:val="Heading2"/>
      </w:pPr>
      <w:r>
        <w:rPr>
          <w:rFonts w:ascii="Calibri" w:hAnsi="Calibri"/>
          <w:b/>
          <w:color w:val="3B4259"/>
          <w:sz w:val="28"/>
        </w:rPr>
        <w:t>7a. Real Estate / Realtor.com Read-Throughs</w:t>
      </w:r>
    </w:p>
    <w:p>
      <w:pPr>
        <w:pStyle w:val="Heading3"/>
      </w:pPr>
      <w:r>
        <w:rPr>
          <w:rFonts w:ascii="Calibri" w:hAnsi="Calibri"/>
          <w:b/>
          <w:color w:val="3B4259"/>
          <w:sz w:val="24"/>
        </w:rPr>
        <w:t>Opendoor Technologies (OPEN) — Q2 2026 Earnings (August 4, 2026)</w:t>
      </w:r>
    </w:p>
    <w:p>
      <w:r>
        <w:rPr>
          <w:rFonts w:ascii="Calibri" w:hAnsi="Calibri"/>
          <w:b/>
          <w:color w:val="525866"/>
          <w:sz w:val="22"/>
        </w:rPr>
        <w:t xml:space="preserve">Relevance: </w:t>
      </w:r>
      <w:r>
        <w:rPr>
          <w:rFonts w:ascii="Calibri" w:hAnsi="Calibri"/>
          <w:color w:val="525866"/>
          <w:sz w:val="22"/>
        </w:rPr>
        <w:t>Opendoor’s Q2 2026 (calendar quarter ending June 30, 2026) directly overlaps with NWS’s Q4 FY2026 reporting period, making it the most timely and directly comparable real estate read-through.</w:t>
      </w:r>
    </w:p>
    <w:p>
      <w:pPr>
        <w:pStyle w:val="ListBullet"/>
        <w:ind w:left="360" w:hanging="360"/>
      </w:pPr>
      <w:r>
        <w:rPr>
          <w:rFonts w:ascii="Calibri" w:hAnsi="Calibri"/>
          <w:b/>
          <w:color w:val="525866"/>
          <w:sz w:val="22"/>
        </w:rPr>
        <w:t>Market characterization:</w:t>
      </w:r>
      <w:r>
        <w:rPr>
          <w:rFonts w:ascii="Calibri" w:hAnsi="Calibri"/>
          <w:color w:val="525866"/>
          <w:sz w:val="22"/>
        </w:rPr>
        <w:t xml:space="preserve"> Opendoor described Q2 2026 as “one of the most challenging housing markets in decades — with constrained demand and delistings at record levels.” This is a direct and significant negative read-through for Realtor.com’s Q4 FY2026 listing volume and agent advertising spend.</w:t>
      </w:r>
    </w:p>
    <w:p>
      <w:pPr>
        <w:pStyle w:val="ListBullet"/>
        <w:ind w:left="360" w:hanging="360"/>
      </w:pPr>
      <w:r>
        <w:rPr>
          <w:rFonts w:ascii="Calibri" w:hAnsi="Calibri"/>
          <w:b/>
          <w:color w:val="525866"/>
          <w:sz w:val="22"/>
        </w:rPr>
        <w:t>Transaction volume recovery:</w:t>
      </w:r>
      <w:r>
        <w:rPr>
          <w:rFonts w:ascii="Calibri" w:hAnsi="Calibri"/>
          <w:color w:val="525866"/>
          <w:sz w:val="22"/>
        </w:rPr>
        <w:t xml:space="preserve"> Despite the challenging backdrop, Opendoor generated 6,908 acquisition contracts in Q2 2026 on just $5M of marketing spend (vs. $81M in Q2 2022 for similar volumes), and homes purchased surged 77% QoQ and 149% YoY to 4,378. This suggests underlying transaction activity is recovering from trough levels, which is a modest positive for Realtor.com engagement.</w:t>
      </w:r>
    </w:p>
    <w:p>
      <w:pPr>
        <w:pStyle w:val="ListBullet"/>
        <w:ind w:left="360" w:hanging="360"/>
      </w:pPr>
      <w:r>
        <w:rPr>
          <w:rFonts w:ascii="Calibri" w:hAnsi="Calibri"/>
          <w:b/>
          <w:color w:val="525866"/>
          <w:sz w:val="22"/>
        </w:rPr>
        <w:t>Broader market stagnation:</w:t>
      </w:r>
      <w:r>
        <w:rPr>
          <w:rFonts w:ascii="Calibri" w:hAnsi="Calibri"/>
          <w:color w:val="525866"/>
          <w:sz w:val="22"/>
        </w:rPr>
        <w:t xml:space="preserve"> 27% of homes in the overall market were on the market for over 120 days (vs. 9% for Opendoor’s inventory), indicating slow sales velocity in the traditional listing market — a headwind for Realtor.com’s core leads business.</w:t>
      </w:r>
    </w:p>
    <w:p>
      <w:pPr>
        <w:pStyle w:val="ListBullet"/>
        <w:ind w:left="360" w:hanging="360"/>
      </w:pPr>
      <w:r>
        <w:rPr>
          <w:rFonts w:ascii="Calibri" w:hAnsi="Calibri"/>
          <w:b/>
          <w:color w:val="525866"/>
          <w:sz w:val="22"/>
        </w:rPr>
        <w:t>Seasonal context:</w:t>
      </w:r>
      <w:r>
        <w:rPr>
          <w:rFonts w:ascii="Calibri" w:hAnsi="Calibri"/>
          <w:color w:val="525866"/>
          <w:sz w:val="22"/>
        </w:rPr>
        <w:t xml:space="preserve"> Opendoor noted that “the spring and summer seasons are basically the only times of the year where the traditional real estate system still kind of actually works,” and reported signing “around 700” contracts in a single week (highest in years). This suggests Q4 FY2026 (April–June) benefited from seasonal tailwinds even in a weak market.</w:t>
      </w:r>
    </w:p>
    <w:p>
      <w:pPr>
        <w:pStyle w:val="ListBullet"/>
        <w:ind w:left="360" w:hanging="360"/>
      </w:pPr>
      <w:r>
        <w:rPr>
          <w:rFonts w:ascii="Calibri" w:hAnsi="Calibri"/>
          <w:b/>
          <w:color w:val="525866"/>
          <w:sz w:val="22"/>
        </w:rPr>
        <w:t>Q3 2026 outlook (NWS Q1 FY2027 read-through):</w:t>
      </w:r>
      <w:r>
        <w:rPr>
          <w:rFonts w:ascii="Calibri" w:hAnsi="Calibri"/>
          <w:color w:val="525866"/>
          <w:sz w:val="22"/>
        </w:rPr>
        <w:t xml:space="preserve"> Opendoor guided for Q3 2026 revenue to increase “at least 20% year-over-year” with contribution profit “more than doubling,” suggesting continued recovery momentum — a positive signal for Realtor.com’s trajectory into FY2027.</w:t>
      </w:r>
    </w:p>
    <w:p>
      <w:pPr>
        <w:pStyle w:val="Heading3"/>
      </w:pPr>
      <w:r>
        <w:rPr>
          <w:rFonts w:ascii="Calibri" w:hAnsi="Calibri"/>
          <w:b/>
          <w:color w:val="3B4259"/>
          <w:sz w:val="24"/>
        </w:rPr>
        <w:t>Redfin — Housing Market Data (July 2026)</w:t>
      </w:r>
    </w:p>
    <w:p>
      <w:r>
        <w:rPr>
          <w:rFonts w:ascii="Calibri" w:hAnsi="Calibri"/>
          <w:b/>
          <w:color w:val="525866"/>
          <w:sz w:val="22"/>
        </w:rPr>
        <w:t xml:space="preserve">Relevance: </w:t>
      </w:r>
      <w:r>
        <w:rPr>
          <w:rFonts w:ascii="Calibri" w:hAnsi="Calibri"/>
          <w:color w:val="525866"/>
          <w:sz w:val="22"/>
        </w:rPr>
        <w:t>Redfin’s July 2026 market reports cover both the June quarter (NWS Q4 FY2026) and the near-term outlook, providing direct read-throughs for Realtor.com.</w:t>
      </w:r>
    </w:p>
    <w:p>
      <w:pPr>
        <w:pStyle w:val="ListBullet"/>
        <w:ind w:left="360" w:hanging="360"/>
      </w:pPr>
      <w:r>
        <w:rPr>
          <w:rFonts w:ascii="Calibri" w:hAnsi="Calibri"/>
          <w:b/>
          <w:color w:val="525866"/>
          <w:sz w:val="22"/>
        </w:rPr>
        <w:t>June 2026 (in-quarter):</w:t>
      </w:r>
      <w:r>
        <w:rPr>
          <w:rFonts w:ascii="Calibri" w:hAnsi="Calibri"/>
          <w:color w:val="525866"/>
          <w:sz w:val="22"/>
        </w:rPr>
        <w:t xml:space="preserve"> Median U.S. home-sale price rose 2.2% YoY to a record $408,776; existing home sales ticked up to 4.4M SAAR (highest since November 2022); pending home sales reached their second-highest level since 2023. Average 30-year mortgage rate was 6.49% in June. This is a modestly positive read-through for Realtor.com Q4 FY2026 — transaction activity improved sequentially, supporting lead volumes and yield.</w:t>
      </w:r>
    </w:p>
    <w:p>
      <w:pPr>
        <w:pStyle w:val="ListBullet"/>
        <w:ind w:left="360" w:hanging="360"/>
      </w:pPr>
      <w:r>
        <w:rPr>
          <w:rFonts w:ascii="Calibri" w:hAnsi="Calibri"/>
          <w:b/>
          <w:color w:val="525866"/>
          <w:sz w:val="22"/>
        </w:rPr>
        <w:t>July 2026 (post-quarter, Q1 FY2027 read-through):</w:t>
      </w:r>
      <w:r>
        <w:rPr>
          <w:rFonts w:ascii="Calibri" w:hAnsi="Calibri"/>
          <w:color w:val="525866"/>
          <w:sz w:val="22"/>
        </w:rPr>
        <w:t xml:space="preserve"> Pending home sales fell to their lowest level since early April during the four weeks ending July 26; the daily average mortgage rate rose to 6.85% (highest in over a year). Homebuying demand is declining due to rising rates and economic uncertainty. This is a clear negative read-through for Realtor.com’s near-term trajectory and management’s Q4 guidance caveat about “rising mortgage rates” is being validated.</w:t>
      </w:r>
    </w:p>
    <w:p>
      <w:pPr>
        <w:pStyle w:val="ListBullet"/>
        <w:ind w:left="360" w:hanging="360"/>
      </w:pPr>
      <w:r>
        <w:rPr>
          <w:rFonts w:ascii="Calibri" w:hAnsi="Calibri"/>
          <w:b/>
          <w:color w:val="525866"/>
          <w:sz w:val="22"/>
        </w:rPr>
        <w:t>Seller/buyer imbalance:</w:t>
      </w:r>
      <w:r>
        <w:rPr>
          <w:rFonts w:ascii="Calibri" w:hAnsi="Calibri"/>
          <w:color w:val="525866"/>
          <w:sz w:val="22"/>
        </w:rPr>
        <w:t xml:space="preserve"> There were 48.5% more home sellers than buyers in June, with ~70% of U.S. housing markets classified as buyer’s markets. This structural imbalance limits the urgency for buyers to engage with listing platforms, a headwind for Realtor.com’s lead conversion metrics.</w:t>
      </w:r>
    </w:p>
    <w:p>
      <w:pPr>
        <w:pStyle w:val="Heading3"/>
      </w:pPr>
      <w:r>
        <w:rPr>
          <w:rFonts w:ascii="Calibri" w:hAnsi="Calibri"/>
          <w:b/>
          <w:color w:val="3B4259"/>
          <w:sz w:val="24"/>
        </w:rPr>
        <w:t>Zillow — Market Reports (July 2026)</w:t>
      </w:r>
    </w:p>
    <w:p>
      <w:r>
        <w:rPr>
          <w:rFonts w:ascii="Calibri" w:hAnsi="Calibri"/>
          <w:b/>
          <w:color w:val="525866"/>
          <w:sz w:val="22"/>
        </w:rPr>
        <w:t xml:space="preserve">Relevance: </w:t>
      </w:r>
      <w:r>
        <w:rPr>
          <w:rFonts w:ascii="Calibri" w:hAnsi="Calibri"/>
          <w:color w:val="525866"/>
          <w:sz w:val="22"/>
        </w:rPr>
        <w:t>Zillow’s June and July 2026 market reports provide a direct competitive and macro read-through for Realtor.com.</w:t>
      </w:r>
    </w:p>
    <w:p>
      <w:pPr>
        <w:pStyle w:val="ListBullet"/>
        <w:ind w:left="360" w:hanging="360"/>
      </w:pPr>
      <w:r>
        <w:rPr>
          <w:rFonts w:ascii="Calibri" w:hAnsi="Calibri"/>
          <w:b/>
          <w:color w:val="525866"/>
          <w:sz w:val="22"/>
        </w:rPr>
        <w:t>June 2026 (in-quarter):</w:t>
      </w:r>
      <w:r>
        <w:rPr>
          <w:rFonts w:ascii="Calibri" w:hAnsi="Calibri"/>
          <w:color w:val="525866"/>
          <w:sz w:val="22"/>
        </w:rPr>
        <w:t xml:space="preserve"> Home sales jumped 5.9% YoY in June (reversing May’s decline); new listings grew 3% annually; typical monthly mortgage payment fell 2.5% YoY. Zillow’s June report was “pointedly more upbeat than May’s,” suggesting Q4 FY2026 ended on a better note than the quarter started. Positive read-through for Realtor.com Q4 revenue.</w:t>
      </w:r>
    </w:p>
    <w:p>
      <w:pPr>
        <w:pStyle w:val="ListBullet"/>
        <w:ind w:left="360" w:hanging="360"/>
      </w:pPr>
      <w:r>
        <w:rPr>
          <w:rFonts w:ascii="Calibri" w:hAnsi="Calibri"/>
          <w:b/>
          <w:color w:val="525866"/>
          <w:sz w:val="22"/>
        </w:rPr>
        <w:t>New home sales (July 24):</w:t>
      </w:r>
      <w:r>
        <w:rPr>
          <w:rFonts w:ascii="Calibri" w:hAnsi="Calibri"/>
          <w:color w:val="525866"/>
          <w:sz w:val="22"/>
        </w:rPr>
        <w:t xml:space="preserve"> New single-family home sales running at weakest year-to-date pace since 2017 (628K SAAR in June, -5.6% YoY); median new home price down 2.7% YoY. Headwind for Realtor.com’s new homes adjacency revenue, which management highlighted as a growth driver.</w:t>
      </w:r>
    </w:p>
    <w:p>
      <w:pPr>
        <w:pStyle w:val="ListBullet"/>
        <w:ind w:left="360" w:hanging="360"/>
      </w:pPr>
      <w:r>
        <w:rPr>
          <w:rFonts w:ascii="Calibri" w:hAnsi="Calibri"/>
          <w:b/>
          <w:color w:val="525866"/>
          <w:sz w:val="22"/>
        </w:rPr>
        <w:t>Full-year 2026 forecast:</w:t>
      </w:r>
      <w:r>
        <w:rPr>
          <w:rFonts w:ascii="Calibri" w:hAnsi="Calibri"/>
          <w:color w:val="525866"/>
          <w:sz w:val="22"/>
        </w:rPr>
        <w:t xml:space="preserve"> Zillow forecasts existing home sales of 3.8M–4.1M for full-year 2026 (+1.2%–1.9% YoY) — a modest recovery but well below historical norms. This supports management’s view that Realtor.com is “primed to prosper when rates decline and liquidity returns” but implies the recovery is gradual.</w:t>
      </w:r>
    </w:p>
    <w:p>
      <w:r>
        <w:br w:type="page"/>
      </w:r>
    </w:p>
    <w:p>
      <w:pPr>
        <w:pStyle w:val="Heading1"/>
        <w:pBdr>
          <w:bottom w:val="single" w:sz="4" w:space="1" w:color="FB9120"/>
        </w:pBdr>
      </w:pPr>
      <w:r>
        <w:rPr>
          <w:rFonts w:ascii="Calibri" w:hAnsi="Calibri"/>
          <w:b/>
          <w:color w:val="3B4259"/>
          <w:sz w:val="40"/>
        </w:rPr>
        <w:t>9. Risks &amp; Key Questions for Management</w:t>
      </w:r>
    </w:p>
    <w:p>
      <w:pPr>
        <w:pStyle w:val="Heading2"/>
      </w:pPr>
      <w:r>
        <w:rPr>
          <w:rFonts w:ascii="Calibri" w:hAnsi="Calibri"/>
          <w:b/>
          <w:color w:val="3B4259"/>
          <w:sz w:val="28"/>
        </w:rPr>
        <w:t>Key Risks</w:t>
      </w:r>
    </w:p>
    <w:p>
      <w:pPr>
        <w:pStyle w:val="ListBullet"/>
        <w:ind w:left="360" w:hanging="360"/>
      </w:pPr>
      <w:r>
        <w:rPr>
          <w:rFonts w:ascii="Calibri" w:hAnsi="Calibri"/>
          <w:b/>
          <w:color w:val="525866"/>
          <w:sz w:val="22"/>
        </w:rPr>
        <w:t>Mortgage Rate Re-Acceleration (Realtor.com):</w:t>
      </w:r>
      <w:r>
        <w:rPr>
          <w:rFonts w:ascii="Calibri" w:hAnsi="Calibri"/>
          <w:color w:val="525866"/>
          <w:sz w:val="22"/>
        </w:rPr>
        <w:t xml:space="preserve"> The 30-year fixed rate hit 6.85% in late July 2026 (14-month high), directly pressuring Realtor.com’s Q4 FY2026 revenue and the Q1 FY2027 outlook. Management pre-flagged this risk, but the magnitude of the rate move since the Q3 call is worse than implied. Consensus assumes $163M in Move revenue for Q4 — downside risk if lead volumes disappointed in June.</w:t>
      </w:r>
    </w:p>
    <w:p>
      <w:pPr>
        <w:pStyle w:val="ListBullet"/>
        <w:ind w:left="360" w:hanging="360"/>
      </w:pPr>
      <w:r>
        <w:rPr>
          <w:rFonts w:ascii="Calibri" w:hAnsi="Calibri"/>
          <w:b/>
          <w:color w:val="525866"/>
          <w:sz w:val="22"/>
        </w:rPr>
        <w:t>News Media EBITDA Drag (California Post):</w:t>
      </w:r>
      <w:r>
        <w:rPr>
          <w:rFonts w:ascii="Calibri" w:hAnsi="Calibri"/>
          <w:color w:val="525866"/>
          <w:sz w:val="22"/>
        </w:rPr>
        <w:t xml:space="preserve"> The California Post launch is generating incremental costs that management characterized as “disciplined” but which drove a 55% YoY decline in News Media EBITDA in Q3. If Q4 costs are higher than expected or early traction metrics disappoint, this segment could be a drag on overall EBITDA.</w:t>
      </w:r>
    </w:p>
    <w:p>
      <w:pPr>
        <w:pStyle w:val="ListBullet"/>
        <w:ind w:left="360" w:hanging="360"/>
      </w:pPr>
      <w:r>
        <w:rPr>
          <w:rFonts w:ascii="Calibri" w:hAnsi="Calibri"/>
          <w:b/>
          <w:color w:val="525866"/>
          <w:sz w:val="22"/>
        </w:rPr>
        <w:t>AI Licensing Revenue Timing:</w:t>
      </w:r>
      <w:r>
        <w:rPr>
          <w:rFonts w:ascii="Calibri" w:hAnsi="Calibri"/>
          <w:color w:val="525866"/>
          <w:sz w:val="22"/>
        </w:rPr>
        <w:t xml:space="preserve"> Management has flagged “several further” AI licensing negotiations in progress and Anthropic settlement proceeds expected “later this calendar year.” If these are delayed into FY2027, Q4 FY2026 results could miss the implied upside. Conversely, any announced deal would be a positive surprise.</w:t>
      </w:r>
    </w:p>
    <w:p>
      <w:pPr>
        <w:pStyle w:val="ListBullet"/>
        <w:ind w:left="360" w:hanging="360"/>
      </w:pPr>
      <w:r>
        <w:rPr>
          <w:rFonts w:ascii="Calibri" w:hAnsi="Calibri"/>
          <w:b/>
          <w:color w:val="525866"/>
          <w:sz w:val="22"/>
        </w:rPr>
        <w:t>REA Group FX Exposure:</w:t>
      </w:r>
      <w:r>
        <w:rPr>
          <w:rFonts w:ascii="Calibri" w:hAnsi="Calibri"/>
          <w:color w:val="525866"/>
          <w:sz w:val="22"/>
        </w:rPr>
        <w:t xml:space="preserve"> REA Group (Australia) contributes meaningfully to Digital Real Estate Services revenue. AUD/USD fluctuations can create reported revenue volatility; Q3 benefited from favorable FX, but this tailwind may not repeat in Q4.</w:t>
      </w:r>
    </w:p>
    <w:p>
      <w:pPr>
        <w:pStyle w:val="ListBullet"/>
        <w:ind w:left="360" w:hanging="360"/>
      </w:pPr>
      <w:r>
        <w:rPr>
          <w:rFonts w:ascii="Calibri" w:hAnsi="Calibri"/>
          <w:b/>
          <w:color w:val="525866"/>
          <w:sz w:val="22"/>
        </w:rPr>
        <w:t>Geopolitical / Macro Uncertainty:</w:t>
      </w:r>
      <w:r>
        <w:rPr>
          <w:rFonts w:ascii="Calibri" w:hAnsi="Calibri"/>
          <w:color w:val="525866"/>
          <w:sz w:val="22"/>
        </w:rPr>
        <w:t xml:space="preserve"> Management explicitly noted they are “closely monitoring events in the Middle East” on the Q3 call. Escalation could affect advertising markets, energy prices (relevant to Dow Jones Energy), and overall business confidence.</w:t>
      </w:r>
    </w:p>
    <w:p>
      <w:pPr>
        <w:pStyle w:val="ListBullet"/>
        <w:ind w:left="360" w:hanging="360"/>
      </w:pPr>
      <w:r>
        <w:rPr>
          <w:rFonts w:ascii="Calibri" w:hAnsi="Calibri"/>
          <w:b/>
          <w:color w:val="525866"/>
          <w:sz w:val="22"/>
        </w:rPr>
        <w:t>HarperCollins Frontlist Execution:</w:t>
      </w:r>
      <w:r>
        <w:rPr>
          <w:rFonts w:ascii="Calibri" w:hAnsi="Calibri"/>
          <w:color w:val="525866"/>
          <w:sz w:val="22"/>
        </w:rPr>
        <w:t xml:space="preserve"> Q4 FY2026 results depend on the commercial performance of JD Vance’s Communion, Ann Patchett, Alex Aster, and Laurie Gilmore. Frontlist misses are binary and hard to predict; consensus assumes $515M in Book Publishing revenue (+4.3% YoY).</w:t>
      </w:r>
    </w:p>
    <w:p>
      <w:pPr>
        <w:pStyle w:val="Heading2"/>
      </w:pPr>
      <w:r>
        <w:rPr>
          <w:rFonts w:ascii="Calibri" w:hAnsi="Calibri"/>
          <w:b/>
          <w:color w:val="3B4259"/>
          <w:sz w:val="28"/>
        </w:rPr>
        <w:t>Key Questions for Management</w:t>
      </w:r>
    </w:p>
    <w:p>
      <w:pPr>
        <w:pStyle w:val="ListNumber"/>
        <w:ind w:left="360" w:hanging="360"/>
      </w:pPr>
      <w:r>
        <w:rPr>
          <w:rFonts w:ascii="Calibri" w:hAnsi="Calibri"/>
          <w:b/>
          <w:color w:val="525866"/>
          <w:sz w:val="22"/>
        </w:rPr>
        <w:t>AI Licensing Pipeline:</w:t>
      </w:r>
      <w:r>
        <w:rPr>
          <w:rFonts w:ascii="Calibri" w:hAnsi="Calibri"/>
          <w:color w:val="525866"/>
          <w:sz w:val="22"/>
        </w:rPr>
        <w:t xml:space="preserve"> Can you provide an update on the number and expected timing of additional AI licensing deals beyond Meta and OpenAI? Have any Anthropic settlement proceeds been recognized in Q4 FY2026?</w:t>
      </w:r>
    </w:p>
    <w:p>
      <w:pPr>
        <w:pStyle w:val="ListNumber"/>
        <w:ind w:left="360" w:hanging="360"/>
      </w:pPr>
      <w:r>
        <w:rPr>
          <w:rFonts w:ascii="Calibri" w:hAnsi="Calibri"/>
          <w:b/>
          <w:color w:val="525866"/>
          <w:sz w:val="22"/>
        </w:rPr>
        <w:t>Realtor.com Q4 Performance:</w:t>
      </w:r>
      <w:r>
        <w:rPr>
          <w:rFonts w:ascii="Calibri" w:hAnsi="Calibri"/>
          <w:color w:val="525866"/>
          <w:sz w:val="22"/>
        </w:rPr>
        <w:t xml:space="preserve"> How did Realtor.com revenue trend through the quarter given the June improvement in existing home sales followed by the July rate re-acceleration? Did lead volumes and yield hold up?</w:t>
      </w:r>
    </w:p>
    <w:p>
      <w:pPr>
        <w:pStyle w:val="ListNumber"/>
        <w:ind w:left="360" w:hanging="360"/>
      </w:pPr>
      <w:r>
        <w:rPr>
          <w:rFonts w:ascii="Calibri" w:hAnsi="Calibri"/>
          <w:b/>
          <w:color w:val="525866"/>
          <w:sz w:val="22"/>
        </w:rPr>
        <w:t>Dow Jones Net Adds:</w:t>
      </w:r>
      <w:r>
        <w:rPr>
          <w:rFonts w:ascii="Calibri" w:hAnsi="Calibri"/>
          <w:color w:val="525866"/>
          <w:sz w:val="22"/>
        </w:rPr>
        <w:t xml:space="preserve"> Management guided for “notably higher” net adds in Q4 driven by enterprise partnerships — did this materialize, and what is the WSJ digital subscription ARPU trajectory?</w:t>
      </w:r>
    </w:p>
    <w:p>
      <w:pPr>
        <w:pStyle w:val="ListNumber"/>
        <w:ind w:left="360" w:hanging="360"/>
      </w:pPr>
      <w:r>
        <w:rPr>
          <w:rFonts w:ascii="Calibri" w:hAnsi="Calibri"/>
          <w:b/>
          <w:color w:val="525866"/>
          <w:sz w:val="22"/>
        </w:rPr>
        <w:t>News Media EBITDA Trajectory:</w:t>
      </w:r>
      <w:r>
        <w:rPr>
          <w:rFonts w:ascii="Calibri" w:hAnsi="Calibri"/>
          <w:color w:val="525866"/>
          <w:sz w:val="22"/>
        </w:rPr>
        <w:t xml:space="preserve"> How much did California Post costs weigh on Q4 News Media EBITDA, and when does the segment return to positive EBITDA growth? What is the revenue contribution from new content licensing in Q4?</w:t>
      </w:r>
    </w:p>
    <w:p>
      <w:pPr>
        <w:pStyle w:val="ListNumber"/>
        <w:ind w:left="360" w:hanging="360"/>
      </w:pPr>
      <w:r>
        <w:rPr>
          <w:rFonts w:ascii="Calibri" w:hAnsi="Calibri"/>
          <w:b/>
          <w:color w:val="525866"/>
          <w:sz w:val="22"/>
        </w:rPr>
        <w:t>Buyback Pace:</w:t>
      </w:r>
      <w:r>
        <w:rPr>
          <w:rFonts w:ascii="Calibri" w:hAnsi="Calibri"/>
          <w:color w:val="525866"/>
          <w:sz w:val="22"/>
        </w:rPr>
        <w:t xml:space="preserve"> With $459M repurchased through Q3 against a $1B program, how much was repurchased in Q4, and what is the remaining authorization? Is the pace expected to continue at the Q3 rate?</w:t>
      </w:r>
    </w:p>
    <w:p>
      <w:pPr>
        <w:pStyle w:val="ListNumber"/>
        <w:ind w:left="360" w:hanging="360"/>
      </w:pPr>
      <w:r>
        <w:rPr>
          <w:rFonts w:ascii="Calibri" w:hAnsi="Calibri"/>
          <w:b/>
          <w:color w:val="525866"/>
          <w:sz w:val="22"/>
        </w:rPr>
        <w:t>FY2027 Outlook:</w:t>
      </w:r>
      <w:r>
        <w:rPr>
          <w:rFonts w:ascii="Calibri" w:hAnsi="Calibri"/>
          <w:color w:val="525866"/>
          <w:sz w:val="22"/>
        </w:rPr>
        <w:t xml:space="preserve"> Given the Dow Jones Investor Day path to $1B EBITDA in 5 years, what are the key milestones for FY2027? Is management prepared to provide any quantitative FY2027 guidance?</w:t>
      </w:r>
    </w:p>
    <w:p>
      <w:pPr>
        <w:pStyle w:val="ListNumber"/>
        <w:ind w:left="360" w:hanging="360"/>
      </w:pPr>
      <w:r>
        <w:rPr>
          <w:rFonts w:ascii="Calibri" w:hAnsi="Calibri"/>
          <w:b/>
          <w:color w:val="525866"/>
          <w:sz w:val="22"/>
        </w:rPr>
        <w:t>REA Group:</w:t>
      </w:r>
      <w:r>
        <w:rPr>
          <w:rFonts w:ascii="Calibri" w:hAnsi="Calibri"/>
          <w:color w:val="525866"/>
          <w:sz w:val="22"/>
        </w:rPr>
        <w:t xml:space="preserve"> Australian residential new buy listings rose 19% in April — did this momentum sustain through May and June? What is the FX impact on Q4 Digital Real Estate Services revenue?</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