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o-earnings-predictions--2026-08-05"/>
    <w:p>
      <w:pPr>
        <w:pStyle w:val="Heading1"/>
      </w:pPr>
      <w:r>
        <w:t xml:space="preserve">O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AFFO per share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1.10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1.09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Investment volume (Q2 2026, pro-rata)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2.5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Same-store rent growth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~+0.9% vs. cons ~+1.1%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AFFO/share guidance (raise)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4.43</m:t>
              </m:r>
              <m:r>
                <m:rPr>
                  <m:sty m:val="p"/>
                </m:rPr>
                <m:t>−</m:t>
              </m:r>
              <m:r>
                <m:t>4.46</m:t>
              </m:r>
              <m:r>
                <m:rPr>
                  <m:sty m:val="p"/>
                </m:rPr>
                <m:t>(</m:t>
              </m:r>
              <m:r>
                <m:t>m</m:t>
              </m:r>
              <m:r>
                <m:t>i</m:t>
              </m:r>
              <m:r>
                <m:t>d</m:t>
              </m:r>
              <m:r>
                <m:t> </m:t>
              </m:r>
            </m:oMath>
            <w:r>
              <w:t xml:space="preserve">4.445) vs. cons ~$4.43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investment volume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10.0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9.5B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occupancy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~98.5% vs. cons ~98.5%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credit loss / bad-debt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~40bps vs. cons ~40bps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(STABILIZE)</w:t>
            </w:r>
          </w:p>
        </w:tc>
        <w:tc>
          <w:tcPr/>
          <w:p>
            <w:pPr>
              <w:pStyle w:val="Compact"/>
            </w:pPr>
            <w:r>
              <w:t xml:space="preserve">Likely beat-and-raise (third straight) after a ~4% fade from July highs supports a modest positive day-1 residual, but AFFO quality concerns (episodic lease-termination income flattering results, thin ~1% same-store growth, lower-yield fund-mix cap rates) cap upside revisions. As a long-duration bond-proxy, O's post-print drift is dominated by the 10-year, so the idiosyncratic reaction largely holds rather than extends—net stabilize with a slight positive bias.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2026-08-05T01:09:06Z</dcterms:created>
  <dcterms:modified xsi:type="dcterms:W3CDTF">2026-08-05T01:09:06Z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