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Realty Income (O) before writing the preview. Let me gather recent earnings materials, filings, and news.Let me read the most recent earnings materials (2026Q1 release and call) and the prior Q2 2025 for year-over-year context.Now let me get the year-ago Q2 2025 release for comparison and check recent price action and news.I have what I need. Let me write the preview.</w:t>
      </w:r>
    </w:p>
    <w:bookmarkStart w:id="17" w:name="X50865d8da41eab9467703d13c1240e5906317e5"/>
    <w:p>
      <w:pPr>
        <w:pStyle w:val="Heading1"/>
      </w:pPr>
      <w:r>
        <w:t xml:space="preserve">Realty Income (O) — Q2 2026 Earnings Preview</w:t>
      </w:r>
    </w:p>
    <w:p>
      <w:pPr>
        <w:pStyle w:val="FirstParagraph"/>
      </w:pPr>
      <w:r>
        <w:rPr>
          <w:b/>
          <w:bCs/>
        </w:rPr>
        <w:t xml:space="preserve">Report date:</w:t>
      </w:r>
      <w:r>
        <w:t xml:space="preserve"> </w:t>
      </w:r>
      <w:r>
        <w:t xml:space="preserve">After market close, Wednesday, August 5, 2026 (2026Q2 Earnings Call) ·</w:t>
      </w:r>
      <w:r>
        <w:t xml:space="preserve"> </w:t>
      </w:r>
      <w:r>
        <w:rPr>
          <w:b/>
          <w:bCs/>
        </w:rPr>
        <w:t xml:space="preserve">Recent price:</w:t>
      </w:r>
      <w:r>
        <w:t xml:space="preserve"> </w:t>
      </w:r>
      <w:r>
        <w:t xml:space="preserve">~$62.92 (Aug 4, 2026)</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Realty Income enters its Q2 print with rising momentum and a business model that is visibly transforming from a pure public-equity-funded net lease REIT into a diversified "capital provider." Q1 2026 was a genuine beat-and-raise: AFFO of</w:t>
      </w:r>
      <w:r>
        <w:t xml:space="preserve"> </w:t>
      </w:r>
      <m:oMath>
        <m:r>
          <m:t>1.13</m:t>
        </m:r>
        <m:r>
          <m:rPr>
            <m:sty m:val="p"/>
          </m:rPr>
          <m:t>/</m:t>
        </m:r>
        <m:r>
          <m:t>s</m:t>
        </m:r>
        <m:r>
          <m:t>h</m:t>
        </m:r>
        <m:r>
          <m:t>a</m:t>
        </m:r>
        <m:r>
          <m:t>r</m:t>
        </m:r>
        <m:r>
          <m:t>e</m:t>
        </m:r>
        <m:r>
          <m:rPr>
            <m:sty m:val="p"/>
          </m:rPr>
          <m:t>(</m:t>
        </m:r>
        <m:r>
          <m:rPr>
            <m:sty m:val="p"/>
          </m:rPr>
          <m:t>+</m:t>
        </m:r>
        <m:r>
          <m:t>6.6</m:t>
        </m:r>
      </m:oMath>
      <w:r>
        <w:rPr>
          <w:b/>
          <w:bCs/>
        </w:rPr>
        <w:t xml:space="preserve">9.5B (from</w:t>
      </w:r>
      <w:r>
        <w:rPr>
          <w:b/>
          <w:bCs/>
        </w:rPr>
        <w:t xml:space="preserve"> </w:t>
      </w:r>
      <m:oMath>
        <m:r>
          <m:t>8.0</m:t>
        </m:r>
        <m:r>
          <m:t>B</m:t>
        </m:r>
        <m:r>
          <m:rPr>
            <m:sty m:val="p"/>
          </m:rPr>
          <m:t>)</m:t>
        </m:r>
        <m:r>
          <m:rPr>
            <m:sty m:val="p"/>
          </m:rPr>
          <m:t>*</m:t>
        </m:r>
        <m:r>
          <m:rPr>
            <m:sty m:val="p"/>
          </m:rPr>
          <m:t>*</m:t>
        </m:r>
        <m:r>
          <m:rPr>
            <m:sty m:val="p"/>
          </m:rPr>
          <m:t>,</m:t>
        </m:r>
        <m:r>
          <m:t>a</m:t>
        </m:r>
        <m:r>
          <m:t>n</m:t>
        </m:r>
        <m:r>
          <m:t>d</m:t>
        </m:r>
        <m:r>
          <m:t>f</m:t>
        </m:r>
        <m:r>
          <m:t>u</m:t>
        </m:r>
        <m:r>
          <m:t>l</m:t>
        </m:r>
        <m:r>
          <m:t>l</m:t>
        </m:r>
        <m:r>
          <m:rPr>
            <m:sty m:val="p"/>
          </m:rPr>
          <m:t>−</m:t>
        </m:r>
        <m:r>
          <m:t>y</m:t>
        </m:r>
        <m:r>
          <m:t>e</m:t>
        </m:r>
        <m:r>
          <m:t>a</m:t>
        </m:r>
        <m:r>
          <m:t>r</m:t>
        </m:r>
        <m:r>
          <m:t>A</m:t>
        </m:r>
        <m:r>
          <m:t>F</m:t>
        </m:r>
        <m:r>
          <m:t>F</m:t>
        </m:r>
        <m:r>
          <m:t>O</m:t>
        </m:r>
        <m:r>
          <m:t>g</m:t>
        </m:r>
        <m:r>
          <m:t>u</m:t>
        </m:r>
        <m:r>
          <m:t>i</m:t>
        </m:r>
        <m:r>
          <m:t>d</m:t>
        </m:r>
        <m:r>
          <m:t>a</m:t>
        </m:r>
        <m:r>
          <m:t>n</m:t>
        </m:r>
        <m:r>
          <m:t>c</m:t>
        </m:r>
        <m:r>
          <m:t>e</m:t>
        </m:r>
        <m:r>
          <m:t>n</m:t>
        </m:r>
        <m:r>
          <m:t>u</m:t>
        </m:r>
        <m:r>
          <m:t>d</m:t>
        </m:r>
        <m:r>
          <m:t>g</m:t>
        </m:r>
        <m:r>
          <m:t>e</m:t>
        </m:r>
        <m:r>
          <m:t>d</m:t>
        </m:r>
        <m:r>
          <m:t>u</m:t>
        </m:r>
        <m:r>
          <m:t>p</m:t>
        </m:r>
        <m:r>
          <m:t>t</m:t>
        </m:r>
        <m:r>
          <m:t>o</m:t>
        </m:r>
        <m:r>
          <m:rPr>
            <m:sty m:val="p"/>
          </m:rPr>
          <m:t>*</m:t>
        </m:r>
        <m:r>
          <m:rPr>
            <m:sty m:val="p"/>
          </m:rPr>
          <m:t>*</m:t>
        </m:r>
      </m:oMath>
      <w:r>
        <w:rPr>
          <w:b/>
          <w:bCs/>
        </w:rPr>
        <w:t xml:space="preserve">4.41–$4.44</w:t>
      </w:r>
      <w:r>
        <w:t xml:space="preserve">. The key questions for Q2 are whether the private-capital flywheel (Apollo, GIC, U.S. Core+ Fund) keeps accelerating deployment and fee income, whether management raises guidance again, and whether the elevated 2026 lease-termination income continues to flatter results.</w:t>
      </w:r>
    </w:p>
    <w:p>
      <w:r>
        <w:pict>
          <v:rect style="width:0;height:1.5pt" o:hralign="center" o:hrstd="t" o:hr="t"/>
        </w:pict>
      </w:r>
    </w:p>
    <w:bookmarkEnd w:id="9"/>
    <w:bookmarkStart w:id="10" w:name="headline-numbers-to-anchor-on"/>
    <w:p>
      <w:pPr>
        <w:pStyle w:val="Heading2"/>
      </w:pPr>
      <w:r>
        <w:t xml:space="preserve">Headline Numbers to Anchor 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Q2 2025 (comp)</w:t>
            </w:r>
          </w:p>
        </w:tc>
        <w:tc>
          <w:tcPr/>
          <w:p>
            <w:pPr>
              <w:pStyle w:val="Compact"/>
            </w:pPr>
            <w:r>
              <w:t xml:space="preserve">FY2026 Guidance</w:t>
            </w:r>
          </w:p>
        </w:tc>
      </w:tr>
      <w:tr>
        <w:tc>
          <w:tcPr/>
          <w:p>
            <w:pPr>
              <w:pStyle w:val="Compact"/>
            </w:pPr>
            <w:r>
              <w:t xml:space="preserve">AFFO / share</w:t>
            </w:r>
          </w:p>
        </w:tc>
        <w:tc>
          <w:tcPr/>
          <w:p>
            <w:pPr>
              <w:pStyle w:val="Compact"/>
            </w:pPr>
            <w:r>
              <w:t xml:space="preserve">$1.13 (+6.6% YoY)</w:t>
            </w:r>
          </w:p>
        </w:tc>
        <w:tc>
          <w:tcPr/>
          <w:p>
            <w:pPr>
              <w:pStyle w:val="Compact"/>
            </w:pPr>
            <w:r>
              <w:t xml:space="preserve">$1.05</w:t>
            </w:r>
          </w:p>
        </w:tc>
        <w:tc>
          <w:tcPr/>
          <w:p>
            <w:pPr>
              <w:pStyle w:val="Compact"/>
            </w:pPr>
            <w:r>
              <w:t xml:space="preserve">$4.41 – $4.44 (~+3.0–3.7%)</w:t>
            </w:r>
          </w:p>
        </w:tc>
      </w:tr>
      <w:tr>
        <w:tc>
          <w:tcPr/>
          <w:p>
            <w:pPr>
              <w:pStyle w:val="Compact"/>
            </w:pPr>
            <w:r>
              <w:t xml:space="preserve">Net income / share</w:t>
            </w:r>
          </w:p>
        </w:tc>
        <w:tc>
          <w:tcPr/>
          <w:p>
            <w:pPr>
              <w:pStyle w:val="Compact"/>
            </w:pPr>
            <w:r>
              <w:t xml:space="preserve">$0.33</w:t>
            </w:r>
          </w:p>
        </w:tc>
        <w:tc>
          <w:tcPr/>
          <w:p>
            <w:pPr>
              <w:pStyle w:val="Compact"/>
            </w:pPr>
            <w:r>
              <w:t xml:space="preserve">$0.22</w:t>
            </w:r>
          </w:p>
        </w:tc>
        <w:tc>
          <w:tcPr/>
          <w:p>
            <w:pPr>
              <w:pStyle w:val="Compact"/>
            </w:pPr>
            <w:r>
              <w:t xml:space="preserve">$1.60 – $1.63</w:t>
            </w:r>
          </w:p>
        </w:tc>
      </w:tr>
      <w:tr>
        <w:tc>
          <w:tcPr/>
          <w:p>
            <w:pPr>
              <w:pStyle w:val="Compact"/>
            </w:pPr>
            <w:r>
              <w:t xml:space="preserve">Investment volume</w:t>
            </w:r>
          </w:p>
        </w:tc>
        <w:tc>
          <w:tcPr/>
          <w:p>
            <w:pPr>
              <w:pStyle w:val="Compact"/>
            </w:pPr>
            <w:r>
              <w:t xml:space="preserve">$2.8B (100%) / $2.6B pro-rata @ 7.1%</w:t>
            </w:r>
          </w:p>
        </w:tc>
        <w:tc>
          <w:tcPr/>
          <w:p>
            <w:pPr>
              <w:pStyle w:val="Compact"/>
            </w:pPr>
            <w:r>
              <w:t xml:space="preserve">$1.2B @ 7.2%</w:t>
            </w:r>
          </w:p>
        </w:tc>
        <w:tc>
          <w:tcPr/>
          <w:p>
            <w:pPr>
              <w:pStyle w:val="Compact"/>
            </w:pPr>
            <w:r>
              <w:t xml:space="preserve">$9.5B (raised from $8.0B)</w:t>
            </w:r>
          </w:p>
        </w:tc>
      </w:tr>
      <w:tr>
        <w:tc>
          <w:tcPr/>
          <w:p>
            <w:pPr>
              <w:pStyle w:val="Compact"/>
            </w:pPr>
            <w:r>
              <w:t xml:space="preserve">Occupancy</w:t>
            </w:r>
          </w:p>
        </w:tc>
        <w:tc>
          <w:tcPr/>
          <w:p>
            <w:pPr>
              <w:pStyle w:val="Compact"/>
            </w:pPr>
            <w:r>
              <w:t xml:space="preserve">98.9%</w:t>
            </w:r>
          </w:p>
        </w:tc>
        <w:tc>
          <w:tcPr/>
          <w:p>
            <w:pPr>
              <w:pStyle w:val="Compact"/>
            </w:pPr>
            <w:r>
              <w:t xml:space="preserve">98.6%</w:t>
            </w:r>
          </w:p>
        </w:tc>
        <w:tc>
          <w:tcPr/>
          <w:p>
            <w:pPr>
              <w:pStyle w:val="Compact"/>
            </w:pPr>
            <w:r>
              <w:t xml:space="preserve">~98.5%</w:t>
            </w:r>
          </w:p>
        </w:tc>
      </w:tr>
      <w:tr>
        <w:tc>
          <w:tcPr/>
          <w:p>
            <w:pPr>
              <w:pStyle w:val="Compact"/>
            </w:pPr>
            <w:r>
              <w:t xml:space="preserve">Same-store rent growth</w:t>
            </w:r>
          </w:p>
        </w:tc>
        <w:tc>
          <w:tcPr/>
          <w:p>
            <w:pPr>
              <w:pStyle w:val="Compact"/>
            </w:pPr>
            <w:r>
              <w:t xml:space="preserve">+0.8%</w:t>
            </w:r>
          </w:p>
        </w:tc>
        <w:tc>
          <w:tcPr/>
          <w:p>
            <w:pPr>
              <w:pStyle w:val="Compact"/>
            </w:pPr>
            <w:r>
              <w:t xml:space="preserve">+1.1%</w:t>
            </w:r>
          </w:p>
        </w:tc>
        <w:tc>
          <w:tcPr/>
          <w:p>
            <w:pPr>
              <w:pStyle w:val="Compact"/>
            </w:pPr>
            <w:r>
              <w:t xml:space="preserve">+1.0% – 1.3%</w:t>
            </w:r>
          </w:p>
        </w:tc>
      </w:tr>
      <w:tr>
        <w:tc>
          <w:tcPr/>
          <w:p>
            <w:pPr>
              <w:pStyle w:val="Compact"/>
            </w:pPr>
            <w:r>
              <w:t xml:space="preserve">Net Debt / EBITDAre</w:t>
            </w:r>
          </w:p>
        </w:tc>
        <w:tc>
          <w:tcPr/>
          <w:p>
            <w:pPr>
              <w:pStyle w:val="Compact"/>
            </w:pPr>
            <w:r>
              <w:t xml:space="preserve">5.2x (4.9x incl. forward equity)</w:t>
            </w:r>
          </w:p>
        </w:tc>
        <w:tc>
          <w:tcPr/>
          <w:p>
            <w:pPr>
              <w:pStyle w:val="Compact"/>
            </w:pPr>
            <w:r>
              <w:t xml:space="preserve">5.5x</w:t>
            </w:r>
          </w:p>
        </w:tc>
        <w:tc>
          <w:tcPr/>
          <w:p>
            <w:pPr>
              <w:pStyle w:val="Compact"/>
            </w:pPr>
            <w:r>
              <w:t xml:space="preserve">—</w:t>
            </w:r>
          </w:p>
        </w:tc>
      </w:tr>
      <w:tr>
        <w:tc>
          <w:tcPr/>
          <w:p>
            <w:pPr>
              <w:pStyle w:val="Compact"/>
            </w:pPr>
            <w:r>
              <w:t xml:space="preserve">Lease termination income</w:t>
            </w:r>
          </w:p>
        </w:tc>
        <w:tc>
          <w:tcPr/>
          <w:p>
            <w:pPr>
              <w:pStyle w:val="Compact"/>
            </w:pPr>
            <w:r>
              <w:t xml:space="preserve">$40.2M (YTD)</w:t>
            </w:r>
          </w:p>
        </w:tc>
        <w:tc>
          <w:tcPr/>
          <w:p>
            <w:pPr>
              <w:pStyle w:val="Compact"/>
            </w:pPr>
            <w:r>
              <w:t xml:space="preserve">—</w:t>
            </w:r>
          </w:p>
        </w:tc>
        <w:tc>
          <w:tcPr/>
          <w:p>
            <w:pPr>
              <w:pStyle w:val="Compact"/>
            </w:pPr>
            <w:r>
              <w:t xml:space="preserve">$45–50M (raised)</w:t>
            </w:r>
          </w:p>
        </w:tc>
      </w:tr>
    </w:tbl>
    <w:p>
      <w:pPr>
        <w:pStyle w:val="BodyText"/>
      </w:pPr>
      <w:r>
        <w:rPr>
          <w:b/>
          <w:bCs/>
        </w:rPr>
        <w:t xml:space="preserve">Implied Q2 math:</w:t>
      </w:r>
      <w:r>
        <w:t xml:space="preserve"> </w:t>
      </w:r>
      <w:r>
        <w:t xml:space="preserve">With Q1 already at</w:t>
      </w:r>
      <w:r>
        <w:t xml:space="preserve"> </w:t>
      </w:r>
      <m:oMath>
        <m:r>
          <m:t>1.13</m:t>
        </m:r>
        <m:r>
          <m:t>a</m:t>
        </m:r>
        <m:r>
          <m:t>n</m:t>
        </m:r>
        <m:r>
          <m:t>d</m:t>
        </m:r>
        <m:r>
          <m:t>f</m:t>
        </m:r>
        <m:r>
          <m:t>u</m:t>
        </m:r>
        <m:r>
          <m:t>l</m:t>
        </m:r>
        <m:r>
          <m:t>l</m:t>
        </m:r>
        <m:r>
          <m:rPr>
            <m:sty m:val="p"/>
          </m:rPr>
          <m:t>−</m:t>
        </m:r>
        <m:r>
          <m:t>y</m:t>
        </m:r>
        <m:r>
          <m:t>e</m:t>
        </m:r>
        <m:r>
          <m:t>a</m:t>
        </m:r>
        <m:r>
          <m:t>r</m:t>
        </m:r>
        <m:r>
          <m:t>g</m:t>
        </m:r>
        <m:r>
          <m:t>u</m:t>
        </m:r>
        <m:r>
          <m:t>i</m:t>
        </m:r>
        <m:r>
          <m:t>d</m:t>
        </m:r>
        <m:r>
          <m:t>a</m:t>
        </m:r>
        <m:r>
          <m:t>n</m:t>
        </m:r>
        <m:r>
          <m:t>c</m:t>
        </m:r>
        <m:r>
          <m:t>e</m:t>
        </m:r>
        <m:r>
          <m:t>m</m:t>
        </m:r>
        <m:r>
          <m:t>i</m:t>
        </m:r>
        <m:r>
          <m:t>d</m:t>
        </m:r>
        <m:r>
          <m:t>p</m:t>
        </m:r>
        <m:r>
          <m:t>o</m:t>
        </m:r>
        <m:r>
          <m:t>i</m:t>
        </m:r>
        <m:r>
          <m:t>n</m:t>
        </m:r>
        <m:r>
          <m:t>t</m:t>
        </m:r>
        <m:r>
          <m:t>o</m:t>
        </m:r>
        <m:r>
          <m:t>f</m:t>
        </m:r>
        <m:r>
          <m:t> </m:t>
        </m:r>
      </m:oMath>
      <w:r>
        <w:t xml:space="preserve">4.425, the back three quarters need to average roughly **</w:t>
      </w:r>
      <m:oMath>
        <m:r>
          <m:t>1.10</m:t>
        </m:r>
        <m:r>
          <m:rPr>
            <m:sty m:val="p"/>
          </m:rPr>
          <m:t>*</m:t>
        </m:r>
        <m:r>
          <m:rPr>
            <m:sty m:val="p"/>
          </m:rPr>
          <m:t>*</m:t>
        </m:r>
        <m:r>
          <m:rPr>
            <m:sty m:val="p"/>
          </m:rPr>
          <m:t>,</m:t>
        </m:r>
        <m:r>
          <m:t>s</m:t>
        </m:r>
        <m:r>
          <m:t>o</m:t>
        </m:r>
        <m:r>
          <m:t>w</m:t>
        </m:r>
        <m:r>
          <m:t>a</m:t>
        </m:r>
        <m:r>
          <m:t>t</m:t>
        </m:r>
        <m:r>
          <m:t>c</m:t>
        </m:r>
        <m:r>
          <m:t>h</m:t>
        </m:r>
        <m:r>
          <m:t>f</m:t>
        </m:r>
        <m:r>
          <m:t>o</m:t>
        </m:r>
        <m:r>
          <m:t>r</m:t>
        </m:r>
        <m:r>
          <m:t>a</m:t>
        </m:r>
        <m:r>
          <m:t>Q</m:t>
        </m:r>
        <m:r>
          <m:t>2</m:t>
        </m:r>
        <m:r>
          <m:t>A</m:t>
        </m:r>
        <m:r>
          <m:t>F</m:t>
        </m:r>
        <m:r>
          <m:t>F</m:t>
        </m:r>
        <m:r>
          <m:t>O</m:t>
        </m:r>
        <m:r>
          <m:t>p</m:t>
        </m:r>
        <m:r>
          <m:t>r</m:t>
        </m:r>
        <m:r>
          <m:t>i</m:t>
        </m:r>
        <m:r>
          <m:t>n</m:t>
        </m:r>
        <m:r>
          <m:t>t</m:t>
        </m:r>
        <m:r>
          <m:t>i</m:t>
        </m:r>
        <m:r>
          <m:t>n</m:t>
        </m:r>
        <m:r>
          <m:t>t</m:t>
        </m:r>
        <m:r>
          <m:t>h</m:t>
        </m:r>
        <m:r>
          <m:t>e</m:t>
        </m:r>
        <m:r>
          <m:t> </m:t>
        </m:r>
      </m:oMath>
      <w:r>
        <w:t xml:space="preserve">1.08–$1.10 range. A beat plus another guidance raise would extend the pattern set in Q1.</w:t>
      </w:r>
    </w:p>
    <w:p>
      <w:r>
        <w:pict>
          <v:rect style="width:0;height:1.5pt" o:hralign="center" o:hrstd="t" o:hr="t"/>
        </w:pict>
      </w:r>
    </w:p>
    <w:bookmarkEnd w:id="10"/>
    <w:bookmarkStart w:id="11" w:name="the-real-story-the-private-capital-pivot"/>
    <w:p>
      <w:pPr>
        <w:pStyle w:val="Heading2"/>
      </w:pPr>
      <w:r>
        <w:t xml:space="preserve">The Real Story: The Private-Capital Pivot</w:t>
      </w:r>
    </w:p>
    <w:p>
      <w:pPr>
        <w:pStyle w:val="FirstParagraph"/>
      </w:pPr>
      <w:r>
        <w:t xml:space="preserve">This is the single most important theme, and Q2 is the first "prove it scales" quarter. Management has built three distinct, intentionally non-overlapping private capital vehicles:</w:t>
      </w:r>
    </w:p>
    <w:p>
      <w:pPr>
        <w:pStyle w:val="Compact"/>
        <w:numPr>
          <w:ilvl w:val="0"/>
          <w:numId w:val="1001"/>
        </w:numPr>
      </w:pPr>
      <w:r>
        <w:rPr>
          <w:b/>
          <w:bCs/>
        </w:rPr>
        <w:t xml:space="preserve">Apollo partnership</w:t>
      </w:r>
      <w:r>
        <w:t xml:space="preserve"> </w:t>
      </w:r>
      <w:r>
        <w:t xml:space="preserve">— a $1.0B equity investment for a 49% stake in a JV holding ~492 contributed retail properties, structured as low-cost property-level equity where Realty Income retains operational control. A call option (years 7–15) caps Apollo's equity cost at</w:t>
      </w:r>
      <w:r>
        <w:t xml:space="preserve"> </w:t>
      </w:r>
      <w:r>
        <w:rPr>
          <w:b/>
          <w:bCs/>
        </w:rPr>
        <w:t xml:space="preserve">6.875%</w:t>
      </w:r>
      <w:r>
        <w:t xml:space="preserve">. Management wants to scale this into the insurance/annuity channel and says new capital will fund</w:t>
      </w:r>
      <w:r>
        <w:t xml:space="preserve"> </w:t>
      </w:r>
      <w:r>
        <w:rPr>
          <w:i/>
          <w:iCs/>
        </w:rPr>
        <w:t xml:space="preserve">new</w:t>
      </w:r>
      <w:r>
        <w:t xml:space="preserve"> </w:t>
      </w:r>
      <w:r>
        <w:t xml:space="preserve">investments.</w:t>
      </w:r>
    </w:p>
    <w:p>
      <w:pPr>
        <w:pStyle w:val="Compact"/>
        <w:numPr>
          <w:ilvl w:val="0"/>
          <w:numId w:val="1001"/>
        </w:numPr>
      </w:pPr>
      <w:r>
        <w:rPr>
          <w:b/>
          <w:bCs/>
        </w:rPr>
        <w:t xml:space="preserve">GIC</w:t>
      </w:r>
      <w:r>
        <w:t xml:space="preserve"> </w:t>
      </w:r>
      <w:r>
        <w:t xml:space="preserve">— a ~$1.5B build-to-suit development JV (U.S. + Mexico), where O provides construction financing with a path to ownership.</w:t>
      </w:r>
    </w:p>
    <w:p>
      <w:pPr>
        <w:pStyle w:val="Compact"/>
        <w:numPr>
          <w:ilvl w:val="0"/>
          <w:numId w:val="1001"/>
        </w:numPr>
      </w:pPr>
      <w:r>
        <w:rPr>
          <w:b/>
          <w:bCs/>
        </w:rPr>
        <w:t xml:space="preserve">U.S. Core+ perpetual fund</w:t>
      </w:r>
      <w:r>
        <w:t xml:space="preserve"> </w:t>
      </w:r>
      <w:r>
        <w:t xml:space="preserve">— completed a **</w:t>
      </w:r>
      <m:oMath>
        <m:r>
          <m:t>1.7</m:t>
        </m:r>
        <m:r>
          <m:t>B</m:t>
        </m:r>
        <m:r>
          <m:t>c</m:t>
        </m:r>
        <m:r>
          <m:t>o</m:t>
        </m:r>
        <m:r>
          <m:t>r</m:t>
        </m:r>
        <m:r>
          <m:t>n</m:t>
        </m:r>
        <m:r>
          <m:t>e</m:t>
        </m:r>
        <m:r>
          <m:t>r</m:t>
        </m:r>
        <m:r>
          <m:t>s</m:t>
        </m:r>
        <m:r>
          <m:t>t</m:t>
        </m:r>
        <m:r>
          <m:t>o</m:t>
        </m:r>
        <m:r>
          <m:t>n</m:t>
        </m:r>
        <m:r>
          <m:t>e</m:t>
        </m:r>
        <m:r>
          <m:t>r</m:t>
        </m:r>
        <m:r>
          <m:t>a</m:t>
        </m:r>
        <m:r>
          <m:t>i</m:t>
        </m:r>
        <m:r>
          <m:t>s</m:t>
        </m:r>
        <m:r>
          <m:t>e</m:t>
        </m:r>
        <m:r>
          <m:rPr>
            <m:sty m:val="p"/>
          </m:rPr>
          <m:t>*</m:t>
        </m:r>
        <m:r>
          <m:rPr>
            <m:sty m:val="p"/>
          </m:rPr>
          <m:t>*</m:t>
        </m:r>
        <m:r>
          <m:rPr>
            <m:sty m:val="p"/>
          </m:rPr>
          <m:t>;</m:t>
        </m:r>
        <m:r>
          <m:t>m</m:t>
        </m:r>
        <m:r>
          <m:t>a</m:t>
        </m:r>
        <m:r>
          <m:t>n</m:t>
        </m:r>
        <m:r>
          <m:t>a</m:t>
        </m:r>
        <m:r>
          <m:t>g</m:t>
        </m:r>
        <m:r>
          <m:t>e</m:t>
        </m:r>
        <m:r>
          <m:t>m</m:t>
        </m:r>
        <m:r>
          <m:t>e</m:t>
        </m:r>
        <m:r>
          <m:t>n</m:t>
        </m:r>
        <m:r>
          <m:t>t</m:t>
        </m:r>
        <m:r>
          <m:t>e</m:t>
        </m:r>
        <m:r>
          <m:t>x</m:t>
        </m:r>
        <m:r>
          <m:t>p</m:t>
        </m:r>
        <m:r>
          <m:t>e</m:t>
        </m:r>
        <m:r>
          <m:t>c</m:t>
        </m:r>
        <m:r>
          <m:t>t</m:t>
        </m:r>
        <m:r>
          <m:t>s</m:t>
        </m:r>
        <m:r>
          <m:t>i</m:t>
        </m:r>
        <m:r>
          <m:t>t</m:t>
        </m:r>
        <m:r>
          <m:t>t</m:t>
        </m:r>
        <m:r>
          <m:t>o</m:t>
        </m:r>
        <m:r>
          <m:t>b</m:t>
        </m:r>
        <m:r>
          <m:t>e</m:t>
        </m:r>
        <m:r>
          <m:t>f</m:t>
        </m:r>
        <m:r>
          <m:t>u</m:t>
        </m:r>
        <m:r>
          <m:t>l</m:t>
        </m:r>
        <m:r>
          <m:t>l</m:t>
        </m:r>
        <m:r>
          <m:t>y</m:t>
        </m:r>
        <m:r>
          <m:t>d</m:t>
        </m:r>
        <m:r>
          <m:t>e</m:t>
        </m:r>
        <m:r>
          <m:t>p</m:t>
        </m:r>
        <m:r>
          <m:t>l</m:t>
        </m:r>
        <m:r>
          <m:t>o</m:t>
        </m:r>
        <m:r>
          <m:t>y</m:t>
        </m:r>
        <m:r>
          <m:t>e</m:t>
        </m:r>
        <m:r>
          <m:t>d</m:t>
        </m:r>
        <m:r>
          <m:t>b</m:t>
        </m:r>
        <m:r>
          <m:t>y</m:t>
        </m:r>
        <m:r>
          <m:t>t</m:t>
        </m:r>
        <m:r>
          <m:t>h</m:t>
        </m:r>
        <m:r>
          <m:t>i</m:t>
        </m:r>
        <m:r>
          <m:t>s</m:t>
        </m:r>
        <m:r>
          <m:t>c</m:t>
        </m:r>
        <m:r>
          <m:t>a</m:t>
        </m:r>
        <m:r>
          <m:t>l</m:t>
        </m:r>
        <m:r>
          <m:t>l</m:t>
        </m:r>
        <m:r>
          <m:t>a</m:t>
        </m:r>
        <m:r>
          <m:t>n</m:t>
        </m:r>
        <m:r>
          <m:t>d</m:t>
        </m:r>
        <m:r>
          <m:t>t</m:t>
        </m:r>
        <m:r>
          <m:t>o</m:t>
        </m:r>
        <m:r>
          <m:t>r</m:t>
        </m:r>
        <m:r>
          <m:t>e</m:t>
        </m:r>
        <m:r>
          <m:t>a</m:t>
        </m:r>
        <m:r>
          <m:t>c</m:t>
        </m:r>
        <m:r>
          <m:t>h</m:t>
        </m:r>
        <m:r>
          <m:t> </m:t>
        </m:r>
      </m:oMath>
      <w:r>
        <w:t xml:space="preserve">3.5–4.0B AUM. Fees are modest for now (~$10M+ annualized base fees once fully drawn) but capital-light and high-margin.</w:t>
      </w:r>
    </w:p>
    <w:p>
      <w:pPr>
        <w:pStyle w:val="FirstParagraph"/>
      </w:pPr>
      <w:r>
        <w:rPr>
          <w:b/>
          <w:bCs/>
        </w:rPr>
        <w:t xml:space="preserve">What to listen for:</w:t>
      </w:r>
      <w:r>
        <w:t xml:space="preserve"> </w:t>
      </w:r>
      <w:r>
        <w:t xml:space="preserve">(1) Confirmation the Core+ fund is fully deployed; (2) any new Apollo tranches or a fourth vehicle/geography; (3) how much of the $9.5B volume is flowing through third-party capital vs. the balance sheet; (4) the impact on blended acquisition cap rates (Q1 fell to 6.7% as lower-yield/higher-growth fund assets mixed in — management framed this as intended and growth-accretive).</w:t>
      </w:r>
    </w:p>
    <w:p>
      <w:r>
        <w:pict>
          <v:rect style="width:0;height:1.5pt" o:hralign="center" o:hrstd="t" o:hr="t"/>
        </w:pict>
      </w:r>
    </w:p>
    <w:bookmarkEnd w:id="11"/>
    <w:bookmarkStart w:id="12" w:name="X3f12f28afb2509ca011358cc8de3aaa0be65f4e"/>
    <w:p>
      <w:pPr>
        <w:pStyle w:val="Heading2"/>
      </w:pPr>
      <w:r>
        <w:t xml:space="preserve">Operating Fundamentals — Solid but Watch the Puts and Takes</w:t>
      </w:r>
    </w:p>
    <w:p>
      <w:pPr>
        <w:pStyle w:val="Compact"/>
        <w:numPr>
          <w:ilvl w:val="0"/>
          <w:numId w:val="1002"/>
        </w:numPr>
      </w:pPr>
      <w:r>
        <w:rPr>
          <w:b/>
          <w:bCs/>
        </w:rPr>
        <w:t xml:space="preserve">Same-store rent growth</w:t>
      </w:r>
      <w:r>
        <w:t xml:space="preserve"> </w:t>
      </w:r>
      <w:r>
        <w:t xml:space="preserve">ran +0.8% in Q1, tracking the low end of the 1.0–1.3% guide — a metric to watch given O's ~1% embedded growth is thin cushion.</w:t>
      </w:r>
    </w:p>
    <w:p>
      <w:pPr>
        <w:pStyle w:val="Compact"/>
        <w:numPr>
          <w:ilvl w:val="0"/>
          <w:numId w:val="1002"/>
        </w:numPr>
      </w:pPr>
      <w:r>
        <w:rPr>
          <w:b/>
          <w:bCs/>
        </w:rPr>
        <w:t xml:space="preserve">Rent recapture</w:t>
      </w:r>
      <w:r>
        <w:t xml:space="preserve"> </w:t>
      </w:r>
      <w:r>
        <w:t xml:space="preserve">remains strong at ~103%; occupancy is high (98.9%) but guided to drift toward ~98.5%.</w:t>
      </w:r>
    </w:p>
    <w:p>
      <w:pPr>
        <w:pStyle w:val="Compact"/>
        <w:numPr>
          <w:ilvl w:val="0"/>
          <w:numId w:val="1002"/>
        </w:numPr>
      </w:pPr>
      <w:r>
        <w:rPr>
          <w:b/>
          <w:bCs/>
        </w:rPr>
        <w:t xml:space="preserve">Lease termination income</w:t>
      </w:r>
      <w:r>
        <w:t xml:space="preserve"> </w:t>
      </w:r>
      <w:r>
        <w:t xml:space="preserve">is a flatter/complicating factor: raised to $45–50M for 2026, front-loaded, and driven by proactive asset management on legacy Spirit/M&amp;A assets. Management explicitly warned this is</w:t>
      </w:r>
      <w:r>
        <w:t xml:space="preserve"> </w:t>
      </w:r>
      <w:r>
        <w:rPr>
          <w:b/>
          <w:bCs/>
        </w:rPr>
        <w:t xml:space="preserve">episodic, not a new run-rate</w:t>
      </w:r>
      <w:r>
        <w:t xml:space="preserve"> </w:t>
      </w:r>
      <w:r>
        <w:t xml:space="preserve">— creating a potential 2027 comp headwind. Scrutinize how much of Q2 AFFO is "core" vs. termination fees.</w:t>
      </w:r>
    </w:p>
    <w:p>
      <w:pPr>
        <w:pStyle w:val="Compact"/>
        <w:numPr>
          <w:ilvl w:val="0"/>
          <w:numId w:val="1002"/>
        </w:numPr>
      </w:pPr>
      <w:r>
        <w:rPr>
          <w:b/>
          <w:bCs/>
        </w:rPr>
        <w:t xml:space="preserve">Credit / watch-list:</w:t>
      </w:r>
      <w:r>
        <w:t xml:space="preserve"> </w:t>
      </w:r>
      <w:r>
        <w:t xml:space="preserve">2026 credit-loss outlook was</w:t>
      </w:r>
      <w:r>
        <w:t xml:space="preserve"> </w:t>
      </w:r>
      <w:r>
        <w:rPr>
          <w:i/>
          <w:iCs/>
        </w:rPr>
        <w:t xml:space="preserve">lowered</w:t>
      </w:r>
      <w:r>
        <w:t xml:space="preserve"> </w:t>
      </w:r>
      <w:r>
        <w:t xml:space="preserve">to ~40bps. Theater exposure (Regal restructuring, shift to percentage rent) and gaming (MGM/Wynn assets) are the industries to monitor.</w:t>
      </w:r>
    </w:p>
    <w:p>
      <w:pPr>
        <w:pStyle w:val="Compact"/>
        <w:numPr>
          <w:ilvl w:val="0"/>
          <w:numId w:val="1002"/>
        </w:numPr>
      </w:pPr>
      <w:r>
        <w:rPr>
          <w:b/>
          <w:bCs/>
        </w:rPr>
        <w:t xml:space="preserve">Europe</w:t>
      </w:r>
      <w:r>
        <w:t xml:space="preserve"> </w:t>
      </w:r>
      <w:r>
        <w:t xml:space="preserve">remains the competitive edge — ~76% of Q2 2025 volume, though the U.S. re-accelerated in Q1 2026 to a roughly even split. Watch U.K. dynamics (elevated gilt yields pushing cap rates wider = buying opportunity).</w:t>
      </w:r>
    </w:p>
    <w:p>
      <w:r>
        <w:pict>
          <v:rect style="width:0;height:1.5pt" o:hralign="center" o:hrstd="t" o:hr="t"/>
        </w:pict>
      </w:r>
    </w:p>
    <w:bookmarkEnd w:id="12"/>
    <w:bookmarkStart w:id="13" w:name="X8deba39c093af2753aff6e98fa888219b4f3efc"/>
    <w:p>
      <w:pPr>
        <w:pStyle w:val="Heading2"/>
      </w:pPr>
      <w:r>
        <w:t xml:space="preserve">Balance Sheet &amp; Capital — Increasingly Diversified</w:t>
      </w:r>
    </w:p>
    <w:p>
      <w:pPr>
        <w:pStyle w:val="Compact"/>
        <w:numPr>
          <w:ilvl w:val="0"/>
          <w:numId w:val="1003"/>
        </w:numPr>
      </w:pPr>
      <w:r>
        <w:t xml:space="preserve">Leverage is comfortable at</w:t>
      </w:r>
      <w:r>
        <w:t xml:space="preserve"> </w:t>
      </w:r>
      <w:r>
        <w:rPr>
          <w:b/>
          <w:bCs/>
        </w:rPr>
        <w:t xml:space="preserve">5.2x</w:t>
      </w:r>
      <w:r>
        <w:t xml:space="preserve"> </w:t>
      </w:r>
      <w:r>
        <w:t xml:space="preserve">(4.9x including outstanding forward equity), inside target.</w:t>
      </w:r>
    </w:p>
    <w:p>
      <w:pPr>
        <w:pStyle w:val="Compact"/>
        <w:numPr>
          <w:ilvl w:val="0"/>
          <w:numId w:val="1003"/>
        </w:numPr>
      </w:pPr>
      <w:r>
        <w:t xml:space="preserve">Management is broadening funding sources: a €-denominated bond swap program (euro debt ~100bps inside USD), a novel</w:t>
      </w:r>
      <w:r>
        <w:t xml:space="preserve"> </w:t>
      </w:r>
      <w:r>
        <w:rPr>
          <w:b/>
          <w:bCs/>
        </w:rPr>
        <w:t xml:space="preserve">$694M muni-prepay term loan via Goldman Sachs</w:t>
      </w:r>
      <w:r>
        <w:t xml:space="preserve"> </w:t>
      </w:r>
      <w:r>
        <w:t xml:space="preserve">at a 4.34% all-in blended rate, and a January convertible + small buyback.</w:t>
      </w:r>
    </w:p>
    <w:p>
      <w:pPr>
        <w:pStyle w:val="Compact"/>
        <w:numPr>
          <w:ilvl w:val="0"/>
          <w:numId w:val="1003"/>
        </w:numPr>
      </w:pPr>
      <w:r>
        <w:rPr>
          <w:b/>
          <w:bCs/>
        </w:rPr>
        <w:t xml:space="preserve">New since Q1:</w:t>
      </w:r>
      <w:r>
        <w:t xml:space="preserve"> </w:t>
      </w:r>
      <w:r>
        <w:t xml:space="preserve">On July 13, O</w:t>
      </w:r>
      <w:r>
        <w:t xml:space="preserve"> </w:t>
      </w:r>
      <w:r>
        <w:rPr>
          <w:b/>
          <w:bCs/>
        </w:rPr>
        <w:t xml:space="preserve">upsized its credit facility to $5.5B and expanded its commercial paper programs</w:t>
      </w:r>
      <w:r>
        <w:t xml:space="preserve"> </w:t>
      </w:r>
      <w:r>
        <w:t xml:space="preserve">— expect commentary on liquidity/dry powder to fund the higher $9.5B volume target.</w:t>
      </w:r>
    </w:p>
    <w:p>
      <w:pPr>
        <w:pStyle w:val="Compact"/>
        <w:numPr>
          <w:ilvl w:val="0"/>
          <w:numId w:val="1003"/>
        </w:numPr>
      </w:pPr>
      <w:r>
        <w:t xml:space="preserve">~$1.4B of unsettled ATM forward equity provides pre-funded firepower.</w:t>
      </w:r>
    </w:p>
    <w:p>
      <w:r>
        <w:pict>
          <v:rect style="width:0;height:1.5pt" o:hralign="center" o:hrstd="t" o:hr="t"/>
        </w:pict>
      </w:r>
    </w:p>
    <w:bookmarkEnd w:id="13"/>
    <w:bookmarkStart w:id="14" w:name="dividend"/>
    <w:p>
      <w:pPr>
        <w:pStyle w:val="Heading2"/>
      </w:pPr>
      <w:r>
        <w:t xml:space="preserve">Dividend</w:t>
      </w:r>
    </w:p>
    <w:p>
      <w:pPr>
        <w:pStyle w:val="FirstParagraph"/>
      </w:pPr>
      <w:r>
        <w:t xml:space="preserve">The Monthly Dividend Company raised its payout for the</w:t>
      </w:r>
      <w:r>
        <w:t xml:space="preserve"> </w:t>
      </w:r>
      <w:r>
        <w:rPr>
          <w:b/>
          <w:bCs/>
        </w:rPr>
        <w:t xml:space="preserve">114th consecutive quarter</w:t>
      </w:r>
      <w:r>
        <w:t xml:space="preserve"> </w:t>
      </w:r>
      <w:r>
        <w:t xml:space="preserve">in March 2026; the annualized rate stands at</w:t>
      </w:r>
      <w:r>
        <w:t xml:space="preserve"> </w:t>
      </w:r>
      <w:r>
        <w:rPr>
          <w:b/>
          <w:bCs/>
        </w:rPr>
        <w:t xml:space="preserve">$3.246/share</w:t>
      </w:r>
      <w:r>
        <w:t xml:space="preserve"> </w:t>
      </w:r>
      <w:r>
        <w:t xml:space="preserve">(~71.7% AFFO payout ratio in Q1 — a healthy, well-covered level). Watch for the next incremental increase and any commentary on dividend growth keeping pace with AFFO growth.</w:t>
      </w:r>
    </w:p>
    <w:p>
      <w:r>
        <w:pict>
          <v:rect style="width:0;height:1.5pt" o:hralign="center" o:hrstd="t" o:hr="t"/>
        </w:pict>
      </w:r>
    </w:p>
    <w:bookmarkEnd w:id="14"/>
    <w:bookmarkStart w:id="16" w:name="stock-setup--sentiment"/>
    <w:p>
      <w:pPr>
        <w:pStyle w:val="Heading2"/>
      </w:pPr>
      <w:r>
        <w:t xml:space="preserve">Stock Setup &amp; Sentiment</w:t>
      </w:r>
    </w:p>
    <w:p>
      <w:pPr>
        <w:pStyle w:val="FirstParagraph"/>
      </w:pPr>
      <w:r>
        <w:t xml:space="preserve">O is up roughly</w:t>
      </w:r>
      <w:r>
        <w:t xml:space="preserve"> </w:t>
      </w:r>
      <w:r>
        <w:rPr>
          <w:b/>
          <w:bCs/>
        </w:rPr>
        <w:t xml:space="preserve">10% YTD</w:t>
      </w:r>
      <w:r>
        <w:t xml:space="preserve"> </w:t>
      </w:r>
      <w:r>
        <w:t xml:space="preserve">(from ~</w:t>
      </w:r>
      <m:oMath>
        <m:r>
          <m:t>57</m:t>
        </m:r>
        <m:r>
          <m:t>i</m:t>
        </m:r>
        <m:r>
          <m:t>n</m:t>
        </m:r>
        <m:r>
          <m:t>e</m:t>
        </m:r>
        <m:r>
          <m:t>a</m:t>
        </m:r>
        <m:r>
          <m:t>r</m:t>
        </m:r>
        <m:r>
          <m:t>l</m:t>
        </m:r>
        <m:r>
          <m:t>y</m:t>
        </m:r>
        <m:r>
          <m:t>J</m:t>
        </m:r>
        <m:r>
          <m:t>a</m:t>
        </m:r>
        <m:r>
          <m:t>n</m:t>
        </m:r>
        <m:r>
          <m:t>u</m:t>
        </m:r>
        <m:r>
          <m:t>a</m:t>
        </m:r>
        <m:r>
          <m:t>r</m:t>
        </m:r>
        <m:r>
          <m:t>y</m:t>
        </m:r>
        <m:r>
          <m:t>t</m:t>
        </m:r>
        <m:r>
          <m:t>o</m:t>
        </m:r>
        <m:r>
          <m:t> </m:t>
        </m:r>
      </m:oMath>
      <w:r>
        <w:t xml:space="preserve">63), but has faded from a mid-July high near **</w:t>
      </w:r>
      <m:oMath>
        <m:r>
          <m:t>65.75</m:t>
        </m:r>
        <m:r>
          <m:rPr>
            <m:sty m:val="p"/>
          </m:rPr>
          <m:t>*</m:t>
        </m:r>
        <m:r>
          <m:rPr>
            <m:sty m:val="p"/>
          </m:rPr>
          <m:t>*</m:t>
        </m:r>
        <m:r>
          <m:t>t</m:t>
        </m:r>
        <m:r>
          <m:t>o</m:t>
        </m:r>
        <m:r>
          <m:t> </m:t>
        </m:r>
      </m:oMath>
      <w:r>
        <w:t xml:space="preserve">62.92 into the print. As a long-duration bond proxy, the shares remain highly sensitive to the 10-year Treasury (management has repeatedly noted cap rates have stayed range-bound alongside a 3.8–4.5% 10-year for two years). The stock offers a ~5.1% dividend yield.</w:t>
      </w:r>
    </w:p>
    <w:p>
      <w:pPr>
        <w:pStyle w:val="BodyText"/>
      </w:pPr>
      <w:r>
        <w:rPr>
          <w:b/>
          <w:bCs/>
        </w:rPr>
        <w:t xml:space="preserve">Bull case into the print:</w:t>
      </w:r>
      <w:r>
        <w:t xml:space="preserve"> </w:t>
      </w:r>
      <w:r>
        <w:t xml:space="preserve">Another beat-and-raise; tangible evidence the private-capital platform is scaling toward the "double-digit total operational return" ambition; fee income emerging as a real earnings contributor.</w:t>
      </w:r>
    </w:p>
    <w:p>
      <w:pPr>
        <w:pStyle w:val="BodyText"/>
      </w:pPr>
      <w:r>
        <w:rPr>
          <w:b/>
          <w:bCs/>
        </w:rPr>
        <w:t xml:space="preserve">Bear/risk case:</w:t>
      </w:r>
      <w:r>
        <w:t xml:space="preserve"> </w:t>
      </w:r>
      <w:r>
        <w:t xml:space="preserve">Reliance on episodic termination income and lower-yield fund assets masking thin ~1% same-store growth; execution/complexity risk as the JV/fund structure multiplies; a back-up in long rates; and the CLO/CECL non-cash credit-loss add-backs drawing scrutiny on AFFO quality.</w:t>
      </w:r>
    </w:p>
    <w:p>
      <w:r>
        <w:pict>
          <v:rect style="width:0;height:1.5pt" o:hralign="center" o:hrstd="t" o:hr="t"/>
        </w:pict>
      </w:r>
    </w:p>
    <w:bookmarkStart w:id="15" w:name="bottom-line"/>
    <w:p>
      <w:pPr>
        <w:pStyle w:val="Heading3"/>
      </w:pPr>
      <w:r>
        <w:t xml:space="preserve">Bottom Line</w:t>
      </w:r>
    </w:p>
    <w:p>
      <w:pPr>
        <w:pStyle w:val="FirstParagraph"/>
      </w:pPr>
      <w:r>
        <w:t xml:space="preserve">The bar is a Q2 AFFO around</w:t>
      </w:r>
      <w:r>
        <w:t xml:space="preserve"> </w:t>
      </w:r>
      <m:oMath>
        <m:r>
          <m:t>1.08</m:t>
        </m:r>
        <m:r>
          <m:rPr>
            <m:sty m:val="p"/>
          </m:rPr>
          <m:t>–</m:t>
        </m:r>
      </m:oMath>
      <w:r>
        <w:rPr>
          <w:b/>
          <w:bCs/>
        </w:rPr>
        <w:t xml:space="preserve">1.10</w:t>
      </w:r>
      <w:r>
        <w:t xml:space="preserve"> </w:t>
      </w:r>
      <w:r>
        <w:t xml:space="preserve">with the market watching for a</w:t>
      </w:r>
      <w:r>
        <w:t xml:space="preserve"> </w:t>
      </w:r>
      <w:r>
        <w:rPr>
          <w:i/>
          <w:iCs/>
        </w:rPr>
        <w:t xml:space="preserve">third</w:t>
      </w:r>
      <w:r>
        <w:t xml:space="preserve"> </w:t>
      </w:r>
      <w:r>
        <w:t xml:space="preserve">consecutive guidance raise and, more importantly, hard proof points that the Apollo/GIC/Core+ private-capital ecosystem is converting into accelerating, higher-quality, capital-light growth. Quality-of-earnings (core AFFO ex-termination fees, same-store trend, and blended investment yields) will matter as much as the headline number.</w:t>
      </w:r>
    </w:p>
    <w:p>
      <w:pPr>
        <w:pStyle w:val="BodyText"/>
      </w:pPr>
      <w:r>
        <w:rPr>
          <w:i/>
          <w:iCs/>
        </w:rPr>
        <w:t xml:space="preserve">Note: This preview is built from Realty Income's Q1 2026 release and call, the Q2 2025 comparison quarter, the July 13, 2026 credit-facility 8-K, and recent price action. Consensus figures are inferred from company guidance rather than a polled estimate. Not investment advice.</w:t>
      </w:r>
    </w:p>
    <w:bookmarkEnd w:id="15"/>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2026-08-05T01:09:06Z</dcterms:created>
  <dcterms:modified xsi:type="dcterms:W3CDTF">2026-08-05T01:09:06Z</dcterms:modified>
</cp:coreProperties>
</file>

<file path=docProps/custom.xml><?xml version="1.0" encoding="utf-8"?>
<Properties xmlns="http://schemas.openxmlformats.org/officeDocument/2006/custom-properties" xmlns:vt="http://schemas.openxmlformats.org/officeDocument/2006/docPropsVTypes"/>
</file>