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-earnings-predictions--2026-08-05"/>
    <w:p>
      <w:pPr>
        <w:pStyle w:val="Heading1"/>
      </w:pPr>
      <w:r>
        <w:t xml:space="preserve">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~$1.11 vs. cons $1.09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~$1.44B vs. cons $1.435B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investment volume (100% basis)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2.23B (implied quarterly pace toward $9.5B FY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~$4.425 (mid) vs. cons $4.425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investment volume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~$10.0B vs. cons/prior guide $9.5B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rent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~1.15% (mid of 1.0-1.3%) vs. cons 1.15%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lease termination income run-rate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</m:t>
              </m:r>
              <m:r>
                <m:rPr>
                  <m:sty m:val="p"/>
                </m:rPr>
                <m:t>−</m:t>
              </m:r>
              <m:r>
                <m:t>50</m:t>
              </m:r>
              <m:r>
                <m:t>M</m:t>
              </m:r>
              <m:r>
                <m:t>f</m:t>
              </m:r>
              <m:r>
                <m:t>u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b</m:t>
              </m:r>
              <m:r>
                <m:t>u</m:t>
              </m:r>
              <m:r>
                <m:t>t</m:t>
              </m:r>
              <m:r>
                <m:t>Q</m:t>
              </m:r>
              <m:r>
                <m:t>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r</m:t>
              </m:r>
              <m:r>
                <m:t>i</m:t>
              </m:r>
              <m:r>
                <m:t>b</m:t>
              </m:r>
              <m:r>
                <m:t>u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8-10M vs. Q1's</w:t>
            </w:r>
            <w:r>
              <w:t xml:space="preserve"> </w:t>
            </w:r>
            <m:oMath>
              <m:r>
                <m:t>40.2</m:t>
              </m:r>
              <m:r>
                <m:t>M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l</m:t>
              </m:r>
              <m:r>
                <m:t>s</m:t>
              </m:r>
              <m:r>
                <m:t> </m:t>
              </m:r>
            </m:oMath>
            <w:r>
              <w:t xml:space="preserve">15M (FY2026/Q2-Q4 cadence)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+0.1% (FADE)</w:t>
            </w:r>
          </w:p>
        </w:tc>
        <w:tc>
          <w:tcPr/>
          <w:p>
            <w:pPr>
              <w:pStyle w:val="Compact"/>
            </w:pPr>
            <w:r>
              <w:t xml:space="preserve">An in-line-to-modest headline AFFO beat and reaffirmed FY guidance likely spark a small relief bounce given the stock's ~4% pre-earnings slide versus a strongly rallying S&amp;P, but the pop should fade over the week as analysts recognize the implicit out-period math: Q1's outsized $40.2M lease-termination income (already near the top of the raised $45-50M full-year range) must roll off sharply in Q2-Q4, meaning underlying same-store/AFFO growth trends toward the more modest 1.0-1.3% guided range once the non-recurring boost is stripped out, prompting light trims to Q3/Q4 FFO estimates even after a Q2 'beat', consistent with net-lease REITs continuing to underperform a risk-on equity tape amid elevated rate volatility.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2026-08-05T01:11:58Z</dcterms:created>
  <dcterms:modified xsi:type="dcterms:W3CDTF">2026-08-05T01:11:58Z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