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realty-income-o-q2-2026-earnings-preview"/>
    <w:p>
      <w:pPr>
        <w:pStyle w:val="Heading1"/>
      </w:pPr>
      <w:r>
        <w:t xml:space="preserve">Realty Income (O) Q2 2026 Earnings Preview</w:t>
      </w:r>
    </w:p>
    <w:p>
      <w:pPr>
        <w:pStyle w:val="FirstParagraph"/>
      </w:pPr>
      <w:r>
        <w:rPr>
          <w:b/>
          <w:bCs/>
        </w:rPr>
        <w:t xml:space="preserve">Reports: Wednesday, August 5, 2026, after market close (2026Q2 Earnings Call)</w:t>
      </w:r>
    </w:p>
    <w:bookmarkStart w:id="9" w:name="snapshot"/>
    <w:p>
      <w:pPr>
        <w:pStyle w:val="Heading2"/>
      </w:pPr>
      <w:r>
        <w:t xml:space="preserve">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t xml:space="preserve">Last close (8/4/26)</w:t>
            </w:r>
          </w:p>
        </w:tc>
        <w:tc>
          <w:tcPr/>
          <w:p>
            <w:pPr>
              <w:pStyle w:val="Compact"/>
            </w:pPr>
            <w:r>
              <w:t xml:space="preserve">~$62.92</w:t>
            </w:r>
          </w:p>
        </w:tc>
      </w:tr>
      <w:tr>
        <w:tc>
          <w:tcPr/>
          <w:p>
            <w:pPr>
              <w:pStyle w:val="Compact"/>
            </w:pPr>
            <w:r>
              <w:t xml:space="preserve">Trailing dividend yield</w:t>
            </w:r>
          </w:p>
        </w:tc>
        <w:tc>
          <w:tcPr/>
          <w:p>
            <w:pPr>
              <w:pStyle w:val="Compact"/>
            </w:pPr>
            <w:r>
              <w:t xml:space="preserve">~4.9%–5.1%</w:t>
            </w:r>
          </w:p>
        </w:tc>
      </w:tr>
      <w:tr>
        <w:tc>
          <w:tcPr/>
          <w:p>
            <w:pPr>
              <w:pStyle w:val="Compact"/>
            </w:pPr>
            <w:r>
              <w:t xml:space="preserve">FY2026 AFFO/share guidance</w:t>
            </w:r>
          </w:p>
        </w:tc>
        <w:tc>
          <w:tcPr/>
          <w:p>
            <w:pPr>
              <w:pStyle w:val="Compact"/>
            </w:pPr>
            <m:oMath>
              <m:r>
                <m:t>4.41</m:t>
              </m:r>
              <m:r>
                <m:rPr>
                  <m:sty m:val="p"/>
                </m:rPr>
                <m:t>–</m:t>
              </m:r>
            </m:oMath>
            <w:r>
              <w:t xml:space="preserve">4.44</w:t>
            </w:r>
          </w:p>
        </w:tc>
      </w:tr>
      <w:tr>
        <w:tc>
          <w:tcPr/>
          <w:p>
            <w:pPr>
              <w:pStyle w:val="Compact"/>
            </w:pPr>
            <w:r>
              <w:t xml:space="preserve">Q1 2026 AFFO/share</w:t>
            </w:r>
          </w:p>
        </w:tc>
        <w:tc>
          <w:tcPr/>
          <w:p>
            <w:pPr>
              <w:pStyle w:val="Compact"/>
            </w:pPr>
            <w:r>
              <w:t xml:space="preserve">$1.13 (+6.6% y/y)</w:t>
            </w:r>
          </w:p>
        </w:tc>
      </w:tr>
      <w:tr>
        <w:tc>
          <w:tcPr/>
          <w:p>
            <w:pPr>
              <w:pStyle w:val="Compact"/>
            </w:pPr>
            <w:r>
              <w:t xml:space="preserve">Q2 2026 consensus FFO/share</w:t>
            </w:r>
          </w:p>
        </w:tc>
        <w:tc>
          <w:tcPr/>
          <w:p>
            <w:pPr>
              <w:pStyle w:val="Compact"/>
            </w:pPr>
            <w:r>
              <w:t xml:space="preserve">~$1.09</w:t>
            </w:r>
          </w:p>
        </w:tc>
      </w:tr>
      <w:tr>
        <w:tc>
          <w:tcPr/>
          <w:p>
            <w:pPr>
              <w:pStyle w:val="Compact"/>
            </w:pPr>
            <w:r>
              <w:t xml:space="preserve">Q2 2026 consensus revenue</w:t>
            </w:r>
          </w:p>
        </w:tc>
        <w:tc>
          <w:tcPr/>
          <w:p>
            <w:pPr>
              <w:pStyle w:val="Compact"/>
            </w:pPr>
            <w:r>
              <w:t xml:space="preserve">~</w:t>
            </w:r>
            <m:oMath>
              <m:r>
                <m:t>1.43</m:t>
              </m:r>
              <m:r>
                <m:rPr>
                  <m:sty m:val="p"/>
                </m:rPr>
                <m:t>–</m:t>
              </m:r>
            </m:oMath>
            <w:r>
              <w:t xml:space="preserve">1.44B</w:t>
            </w:r>
          </w:p>
        </w:tc>
      </w:tr>
      <w:tr>
        <w:tc>
          <w:tcPr/>
          <w:p>
            <w:pPr>
              <w:pStyle w:val="Compact"/>
            </w:pPr>
            <w:r>
              <w:t xml:space="preserve">Net Debt / Annualized Pro Forma EBITDAre (Q1)</w:t>
            </w:r>
          </w:p>
        </w:tc>
        <w:tc>
          <w:tcPr/>
          <w:p>
            <w:pPr>
              <w:pStyle w:val="Compact"/>
            </w:pPr>
            <w:r>
              <w:t xml:space="preserve">5.2x</w:t>
            </w:r>
          </w:p>
        </w:tc>
      </w:tr>
    </w:tbl>
    <w:p>
      <w:pPr>
        <w:pStyle w:val="BodyText"/>
      </w:pPr>
      <w:r>
        <w:t xml:space="preserve">Realty Income enters this print with the stock roughly flat-to-down over the past few weeks — shares have slipped from a mid-July high near $65.75 to just below $63 heading into the report, even after the company just announced its 135th dividend increase. The setup is one of steady, low-drama operating performance layered on top of a genuinely new strategic story: the build-out of a private-capital ecosystem that management believes will change how the company funds growth for years to come.</w:t>
      </w:r>
    </w:p>
    <w:bookmarkEnd w:id="9"/>
    <w:bookmarkStart w:id="10" w:name="X34ddea3d46d964cce8e3726918eb2e86c4c41d2"/>
    <w:p>
      <w:pPr>
        <w:pStyle w:val="Heading2"/>
      </w:pPr>
      <w:r>
        <w:t xml:space="preserve">Q1 2026 Recap — The Base Case Investors Are Underwriting From</w:t>
      </w:r>
    </w:p>
    <w:p>
      <w:pPr>
        <w:pStyle w:val="FirstParagraph"/>
      </w:pPr>
      <w:r>
        <w:t xml:space="preserve">Realty Income's first quarter set a constructive tone. The company delivered AFFO per share of $1.13, up 6.6% year-over-year and invested approximately $2.8 billion or $2.6 billion on a pro rata basis at a 7.1% initial weighted average cash yield, which supported its decision to raise the midpoint of full year AFFO per share guidance by $0.025, or approximately 60 basis points at the midpoint. Management also increased full year investment volume guidance to $9.5 billion at 100% ownership and raised the AFFO per share guidance range to between $4.41 and $4.44.</w:t>
      </w:r>
    </w:p>
    <w:p>
      <w:pPr>
        <w:pStyle w:val="BodyText"/>
      </w:pPr>
      <w:r>
        <w:t xml:space="preserve">Portfolio health remained strong: occupancy was 98.9% and the company achieved a rent recapture rate of 103.4% on properties re-leased, while sourcing discipline stayed intact — approximately $31 billion of investment opportunities during the first quarter were reviewed, but the company closed on roughly 9% of what we reviewed while maintaining discipline on yield structure and credit, with approximately 94% of opportunities... relationship-driven.</w:t>
      </w:r>
    </w:p>
    <w:p>
      <w:pPr>
        <w:pStyle w:val="BodyText"/>
      </w:pPr>
      <w:r>
        <w:t xml:space="preserve">The biggest strategic development, however, was the formation of a "private capital ecosystem." Realty Income completed our $1.7 billion cornerstone capital raise for our Perpetual Life U.S. Core+ fund, formed a strategic partnership with GIC focused primarily on construction financing and takeout commitments for build-to-suit industrial in the U.S. and Mexico, and raised $1 billion in equity from Apollo as part of a programmatic venture that strives to ultimately deliver Realty Income's dependable income to the massive insurance and annuity market. Management framed this as a deliberate effort to diversify away from reliance on public equity markets, whose pricing, at times, can become disconnected from underlying operating performance.</w:t>
      </w:r>
    </w:p>
    <w:bookmarkEnd w:id="10"/>
    <w:bookmarkStart w:id="11" w:name="what-wall-street-expects-for-q2"/>
    <w:p>
      <w:pPr>
        <w:pStyle w:val="Heading2"/>
      </w:pPr>
      <w:r>
        <w:t xml:space="preserve">What Wall Street Expects for Q2</w:t>
      </w:r>
    </w:p>
    <w:p>
      <w:pPr>
        <w:pStyle w:val="FirstParagraph"/>
      </w:pPr>
      <w:r>
        <w:t xml:space="preserve">Analyst estimates point to continued, if unspectacular, sequential growth. Consensus calls for</w:t>
      </w:r>
      <w:r>
        <w:t xml:space="preserve"> </w:t>
      </w:r>
      <w:r>
        <w:rPr>
          <w:b/>
          <w:bCs/>
        </w:rPr>
        <w:t xml:space="preserve">FFO of roughly $1.09 per diluted share</w:t>
      </w:r>
      <w:r>
        <w:t xml:space="preserve">, which per Barchart implies growth of $1.09 per share on a diluted basis, up 3.8% from $1.05 per share in the year-ago quarter, alongside revenue of around $1.43 billion, and funds from operations (FFO)... representing 7% and 2.8% year-over-year increases. Realty Income's own full-year framework implies AFFO/share growth of 3.0%–3.7% for 2026, so a Q2 print broadly in line with that trajectory would keep the year on track without necessarily forcing another guidance raise.</w:t>
      </w:r>
    </w:p>
    <w:p>
      <w:pPr>
        <w:pStyle w:val="BodyText"/>
      </w:pPr>
      <w:r>
        <w:t xml:space="preserve">Track record is a modest tailwind for sentiment: the company has beat or matched the consensus estimates in three of the last four quarters.</w:t>
      </w:r>
    </w:p>
    <w:bookmarkEnd w:id="11"/>
    <w:bookmarkStart w:id="12" w:name="key-things-to-watch-in-the-print"/>
    <w:p>
      <w:pPr>
        <w:pStyle w:val="Heading2"/>
      </w:pPr>
      <w:r>
        <w:t xml:space="preserve">Key Things to Watch in the Print</w:t>
      </w:r>
    </w:p>
    <w:p>
      <w:pPr>
        <w:pStyle w:val="FirstParagraph"/>
      </w:pPr>
      <w:r>
        <w:rPr>
          <w:b/>
          <w:bCs/>
        </w:rPr>
        <w:t xml:space="preserve">1. Pace toward the private-capital ecosystem's next milestones.</w:t>
      </w:r>
      <w:r>
        <w:t xml:space="preserve"> </w:t>
      </w:r>
      <w:r>
        <w:t xml:space="preserve">On the Q1 call, CEO Sumit Roy said the U.S. Core Plus Fund was close to being fully invested, noting "our belief is that the next time we are having this earnings call, all of that equity capital will be fully deployed" and that the fund could ultimately reach a "ZIP code of $3.5 billion to $4 billion of assets under management." Investors should look for confirmation of full deployment, an updated read on management-fee income (previously guided at "a little bit over $10 million" annualized once fully drawn), and any incremental commitments from Apollo or GIC beyond their initial $1 billion and $1.5 billion allocations.</w:t>
      </w:r>
    </w:p>
    <w:p>
      <w:pPr>
        <w:pStyle w:val="BodyText"/>
      </w:pPr>
      <w:r>
        <w:rPr>
          <w:b/>
          <w:bCs/>
        </w:rPr>
        <w:t xml:space="preserve">2. Investment volume cadence toward the $9.5 billion target.</w:t>
      </w:r>
      <w:r>
        <w:t xml:space="preserve"> </w:t>
      </w:r>
      <w:r>
        <w:t xml:space="preserve">With $2.8 billion invested in Q1, roughly $6.7 billion of deployment is implied for the remaining three quarters. Watch for commentary on U.S. vs. European mix (management noted a more even split emerging after Europe had dominated for several quarters) and whether cap rates on wholly-owned acquisitions have held in their recent multi-year range.</w:t>
      </w:r>
    </w:p>
    <w:p>
      <w:pPr>
        <w:pStyle w:val="BodyText"/>
      </w:pPr>
      <w:r>
        <w:rPr>
          <w:b/>
          <w:bCs/>
        </w:rPr>
        <w:t xml:space="preserve">3. Lease termination income — a real but non-repeating tailwind.</w:t>
      </w:r>
      <w:r>
        <w:t xml:space="preserve"> </w:t>
      </w:r>
      <w:r>
        <w:t xml:space="preserve">Realty Income recognized $40.2 million of termination income in Q1 alone, already near the top of its raised</w:t>
      </w:r>
      <w:r>
        <w:t xml:space="preserve"> </w:t>
      </w:r>
      <m:oMath>
        <m:r>
          <m:t>45</m:t>
        </m:r>
        <m:r>
          <m:rPr>
            <m:sty m:val="p"/>
          </m:rPr>
          <m:t>–</m:t>
        </m:r>
      </m:oMath>
      <w:r>
        <w:t xml:space="preserve">50 million full-year range. Management was explicit that this is "episodic," tied to cleaning up assets inherited through the Spirit Realty and other M&amp;A deals, "not... the new watermark for lease terminations" going forward — meaning Q2's contribution should moderate sharply and investors should watch how the company frames the run-rate/comp risk into 2027.</w:t>
      </w:r>
    </w:p>
    <w:p>
      <w:pPr>
        <w:pStyle w:val="BodyText"/>
      </w:pPr>
      <w:r>
        <w:rPr>
          <w:b/>
          <w:bCs/>
        </w:rPr>
        <w:t xml:space="preserve">4. Credit and watch-list tenants.</w:t>
      </w:r>
      <w:r>
        <w:t xml:space="preserve"> </w:t>
      </w:r>
      <w:r>
        <w:t xml:space="preserve">Theater same-store rent was a soft spot in Q1 (down ~10% y/y) due to Regal's bankruptcy emergence and shift to percentage-rent structures; gaming exposure ticked up to 3.2% of the portfolio. Credit loss guidance was lowered to ~40 bps of rental revenue — any deterioration here, or fresh disclosure on watch-list tenants, would be a focal point.</w:t>
      </w:r>
    </w:p>
    <w:p>
      <w:pPr>
        <w:pStyle w:val="BodyText"/>
      </w:pPr>
      <w:r>
        <w:rPr>
          <w:b/>
          <w:bCs/>
        </w:rPr>
        <w:t xml:space="preserve">5. Balance sheet and cost of capital.</w:t>
      </w:r>
      <w:r>
        <w:t xml:space="preserve"> </w:t>
      </w:r>
      <w:r>
        <w:t xml:space="preserve">Leverage was 5.2x net debt/EBITDA at Q1 (4.9x including forward equity), within target range. The company has been diversifying funding sources aggressively — a</w:t>
      </w:r>
      <w:r>
        <w:t xml:space="preserve"> </w:t>
      </w:r>
      <m:oMath>
        <m:r>
          <m:t>693.9</m:t>
        </m:r>
        <m:r>
          <m:t>m</m:t>
        </m:r>
        <m:r>
          <m:t>i</m:t>
        </m:r>
        <m:r>
          <m:t>l</m:t>
        </m:r>
        <m:r>
          <m:t>l</m:t>
        </m:r>
        <m:r>
          <m:t>i</m:t>
        </m:r>
        <m:r>
          <m:t>o</m:t>
        </m:r>
        <m:r>
          <m:t>n</m:t>
        </m:r>
        <m:r>
          <m:t>G</m:t>
        </m:r>
        <m:r>
          <m:t>o</m:t>
        </m:r>
        <m:r>
          <m:t>l</m:t>
        </m:r>
        <m:r>
          <m:t>d</m:t>
        </m:r>
        <m:r>
          <m:t>m</m:t>
        </m:r>
        <m:r>
          <m:t>a</m:t>
        </m:r>
        <m:r>
          <m:t>n</m:t>
        </m:r>
        <m:r>
          <m:t>S</m:t>
        </m:r>
        <m:r>
          <m:t>a</m:t>
        </m:r>
        <m:r>
          <m:t>c</m:t>
        </m:r>
        <m:r>
          <m:t>h</m:t>
        </m:r>
        <m:r>
          <m:t>s</m:t>
        </m:r>
        <m:r>
          <m:rPr>
            <m:sty m:val="p"/>
          </m:rPr>
          <m:t>−</m:t>
        </m:r>
        <m:r>
          <m:t>a</m:t>
        </m:r>
        <m:r>
          <m:t>f</m:t>
        </m:r>
        <m:r>
          <m:t>f</m:t>
        </m:r>
        <m:r>
          <m:t>i</m:t>
        </m:r>
        <m:r>
          <m:t>l</m:t>
        </m:r>
        <m:r>
          <m:t>i</m:t>
        </m:r>
        <m:r>
          <m:t>a</m:t>
        </m:r>
        <m:r>
          <m:t>t</m:t>
        </m:r>
        <m:r>
          <m:t>e</m:t>
        </m:r>
        <m:r>
          <m:t>d</m:t>
        </m:r>
        <m:r>
          <m:t>m</m:t>
        </m:r>
        <m:r>
          <m:t>u</m:t>
        </m:r>
        <m:r>
          <m:t>n</m:t>
        </m:r>
        <m:r>
          <m:t>i</m:t>
        </m:r>
        <m:r>
          <m:t>c</m:t>
        </m:r>
        <m:r>
          <m:t>i</m:t>
        </m:r>
        <m:r>
          <m:t>p</m:t>
        </m:r>
        <m:r>
          <m:t>a</m:t>
        </m:r>
        <m:r>
          <m:t>l</m:t>
        </m:r>
        <m:r>
          <m:rPr>
            <m:sty m:val="p"/>
          </m:rPr>
          <m:t>−</m:t>
        </m:r>
        <m:r>
          <m:t>p</m:t>
        </m:r>
        <m:r>
          <m:t>r</m:t>
        </m:r>
        <m:r>
          <m:t>e</m:t>
        </m:r>
        <m:r>
          <m:t>p</m:t>
        </m:r>
        <m:r>
          <m:t>a</m:t>
        </m:r>
        <m:r>
          <m:t>y</m:t>
        </m:r>
        <m:r>
          <m:t>t</m:t>
        </m:r>
        <m:r>
          <m:t>e</m:t>
        </m:r>
        <m:r>
          <m:t>r</m:t>
        </m:r>
        <m:r>
          <m:t>m</m:t>
        </m:r>
        <m:r>
          <m:t>l</m:t>
        </m:r>
        <m:r>
          <m:t>o</m:t>
        </m:r>
        <m:r>
          <m:t>a</m:t>
        </m:r>
        <m:r>
          <m:t>n</m:t>
        </m:r>
        <m:r>
          <m:rPr>
            <m:sty m:val="p"/>
          </m:rPr>
          <m:t>,</m:t>
        </m:r>
        <m:r>
          <m:t>e</m:t>
        </m:r>
        <m:r>
          <m:t>u</m:t>
        </m:r>
        <m:r>
          <m:t>r</m:t>
        </m:r>
        <m:r>
          <m:t>o</m:t>
        </m:r>
        <m:r>
          <m:t>c</m:t>
        </m:r>
        <m:r>
          <m:t>r</m:t>
        </m:r>
        <m:r>
          <m:t>o</m:t>
        </m:r>
        <m:r>
          <m:t>s</m:t>
        </m:r>
        <m:r>
          <m:t>s</m:t>
        </m:r>
        <m:r>
          <m:rPr>
            <m:sty m:val="p"/>
          </m:rPr>
          <m:t>−</m:t>
        </m:r>
        <m:r>
          <m:t>c</m:t>
        </m:r>
        <m:r>
          <m:t>u</m:t>
        </m:r>
        <m:r>
          <m:t>r</m:t>
        </m:r>
        <m:r>
          <m:t>r</m:t>
        </m:r>
        <m:r>
          <m:t>e</m:t>
        </m:r>
        <m:r>
          <m:t>n</m:t>
        </m:r>
        <m:r>
          <m:t>c</m:t>
        </m:r>
        <m:r>
          <m:t>y</m:t>
        </m:r>
        <m:r>
          <m:t>s</m:t>
        </m:r>
        <m:r>
          <m:t>w</m:t>
        </m:r>
        <m:r>
          <m:t>a</m:t>
        </m:r>
        <m:r>
          <m:t>p</m:t>
        </m:r>
        <m:r>
          <m:t>s</m:t>
        </m:r>
        <m:r>
          <m:rPr>
            <m:sty m:val="p"/>
          </m:rPr>
          <m:t>,</m:t>
        </m:r>
        <m:r>
          <m:t>c</m:t>
        </m:r>
        <m:r>
          <m:t>o</m:t>
        </m:r>
        <m:r>
          <m:t>n</m:t>
        </m:r>
        <m:r>
          <m:t>v</m:t>
        </m:r>
        <m:r>
          <m:t>e</m:t>
        </m:r>
        <m:r>
          <m:t>r</m:t>
        </m:r>
        <m:r>
          <m:t>t</m:t>
        </m:r>
        <m:r>
          <m:t>i</m:t>
        </m:r>
        <m:r>
          <m:t>b</m:t>
        </m:r>
        <m:r>
          <m:t>l</m:t>
        </m:r>
        <m:r>
          <m:t>e</m:t>
        </m:r>
        <m:r>
          <m:t>n</m:t>
        </m:r>
        <m:r>
          <m:t>o</m:t>
        </m:r>
        <m:r>
          <m:t>t</m:t>
        </m:r>
        <m:r>
          <m:t>e</m:t>
        </m:r>
        <m:r>
          <m:t>s</m:t>
        </m:r>
        <m:r>
          <m:rPr>
            <m:sty m:val="p"/>
          </m:rPr>
          <m:t>,</m:t>
        </m:r>
        <m:r>
          <m:t>a</m:t>
        </m:r>
        <m:r>
          <m:t>n</m:t>
        </m:r>
        <m:r>
          <m:t>d</m:t>
        </m:r>
        <m:r>
          <m:t>n</m:t>
        </m:r>
        <m:r>
          <m:t>o</m:t>
        </m:r>
        <m:r>
          <m:t>w</m:t>
        </m:r>
        <m:r>
          <m:t>p</m:t>
        </m:r>
        <m:r>
          <m:t>r</m:t>
        </m:r>
        <m:r>
          <m:t>i</m:t>
        </m:r>
        <m:r>
          <m:t>v</m:t>
        </m:r>
        <m:r>
          <m:t>a</m:t>
        </m:r>
        <m:r>
          <m:t>t</m:t>
        </m:r>
        <m:r>
          <m:t>e</m:t>
        </m:r>
        <m:r>
          <m:t>J</m:t>
        </m:r>
        <m:r>
          <m:t>V</m:t>
        </m:r>
        <m:r>
          <m:t>e</m:t>
        </m:r>
        <m:r>
          <m:t>q</m:t>
        </m:r>
        <m:r>
          <m:t>u</m:t>
        </m:r>
        <m:r>
          <m:t>i</m:t>
        </m:r>
        <m:r>
          <m:t>t</m:t>
        </m:r>
        <m:r>
          <m:t>y</m:t>
        </m:r>
        <m:r>
          <m:rPr>
            <m:sty m:val="p"/>
          </m:rPr>
          <m:t>—</m:t>
        </m:r>
        <m:r>
          <m:t>a</m:t>
        </m:r>
        <m:r>
          <m:t>l</m:t>
        </m:r>
        <m:r>
          <m:t>l</m:t>
        </m:r>
        <m:r>
          <m:t>a</m:t>
        </m:r>
        <m:r>
          <m:t>i</m:t>
        </m:r>
        <m:r>
          <m:t>m</m:t>
        </m:r>
        <m:r>
          <m:t>e</m:t>
        </m:r>
        <m:r>
          <m:t>d</m:t>
        </m:r>
        <m:r>
          <m:t>a</m:t>
        </m:r>
        <m:r>
          <m:t>t</m:t>
        </m:r>
        <m:r>
          <m:t>l</m:t>
        </m:r>
        <m:r>
          <m:t>o</m:t>
        </m:r>
        <m:r>
          <m:t>w</m:t>
        </m:r>
        <m:r>
          <m:t>e</m:t>
        </m:r>
        <m:r>
          <m:t>r</m:t>
        </m:r>
        <m:r>
          <m:t>i</m:t>
        </m:r>
        <m:r>
          <m:t>n</m:t>
        </m:r>
        <m:r>
          <m:t>g</m:t>
        </m:r>
        <m:r>
          <m:t>b</m:t>
        </m:r>
        <m:r>
          <m:t>l</m:t>
        </m:r>
        <m:r>
          <m:t>e</m:t>
        </m:r>
        <m:r>
          <m:t>n</m:t>
        </m:r>
        <m:r>
          <m:t>d</m:t>
        </m:r>
        <m:r>
          <m:t>e</m:t>
        </m:r>
        <m:r>
          <m:t>d</m:t>
        </m:r>
        <m:r>
          <m:t>c</m:t>
        </m:r>
        <m:r>
          <m:t>o</m:t>
        </m:r>
        <m:r>
          <m:t>s</m:t>
        </m:r>
        <m:r>
          <m:t>t</m:t>
        </m:r>
        <m:r>
          <m:t>o</m:t>
        </m:r>
        <m:r>
          <m:t>f</m:t>
        </m:r>
        <m:r>
          <m:t>c</m:t>
        </m:r>
        <m:r>
          <m:t>a</m:t>
        </m:r>
        <m:r>
          <m:t>p</m:t>
        </m:r>
        <m:r>
          <m:t>i</m:t>
        </m:r>
        <m:r>
          <m:t>t</m:t>
        </m:r>
        <m:r>
          <m:t>a</m:t>
        </m:r>
        <m:r>
          <m:t>l</m:t>
        </m:r>
        <m:r>
          <m:rPr>
            <m:sty m:val="p"/>
          </m:rPr>
          <m:t>.</m:t>
        </m:r>
        <m:r>
          <m:t>W</m:t>
        </m:r>
        <m:r>
          <m:t>a</m:t>
        </m:r>
        <m:r>
          <m:t>t</m:t>
        </m:r>
        <m:r>
          <m:t>c</m:t>
        </m:r>
        <m:r>
          <m:t>h</m:t>
        </m:r>
        <m:r>
          <m:t>f</m:t>
        </m:r>
        <m:r>
          <m:t>o</m:t>
        </m:r>
        <m:r>
          <m:t>r</m:t>
        </m:r>
        <m:r>
          <m:t>u</m:t>
        </m:r>
        <m:r>
          <m:t>p</m:t>
        </m:r>
        <m:r>
          <m:t>d</m:t>
        </m:r>
        <m:r>
          <m:t>a</m:t>
        </m:r>
        <m:r>
          <m:t>t</m:t>
        </m:r>
        <m:r>
          <m:t>e</m:t>
        </m:r>
        <m:r>
          <m:t>d</m:t>
        </m:r>
        <m:r>
          <m:t>c</m:t>
        </m:r>
        <m:r>
          <m:t>o</m:t>
        </m:r>
        <m:r>
          <m:t>m</m:t>
        </m:r>
        <m:r>
          <m:t>m</m:t>
        </m:r>
        <m:r>
          <m:t>e</m:t>
        </m:r>
        <m:r>
          <m:t>n</m:t>
        </m:r>
        <m:r>
          <m:t>t</m:t>
        </m:r>
        <m:r>
          <m:t>a</m:t>
        </m:r>
        <m:r>
          <m:t>r</m:t>
        </m:r>
        <m:r>
          <m:t>y</m:t>
        </m:r>
        <m:r>
          <m:t>o</m:t>
        </m:r>
        <m:r>
          <m:t>n</m:t>
        </m:r>
        <m:r>
          <m:t>t</m:t>
        </m:r>
        <m:r>
          <m:t>h</m:t>
        </m:r>
        <m:r>
          <m:t>e</m:t>
        </m:r>
        <m:r>
          <m:t>A</m:t>
        </m:r>
        <m:r>
          <m:t>T</m:t>
        </m:r>
        <m:r>
          <m:t>M</m:t>
        </m:r>
        <m:r>
          <m:t>f</m:t>
        </m:r>
        <m:r>
          <m:t>o</m:t>
        </m:r>
        <m:r>
          <m:t>r</m:t>
        </m:r>
        <m:r>
          <m:t>w</m:t>
        </m:r>
        <m:r>
          <m:t>a</m:t>
        </m:r>
        <m:r>
          <m:t>r</m:t>
        </m:r>
        <m:r>
          <m:t>d</m:t>
        </m:r>
        <m:r>
          <m:t>b</m:t>
        </m:r>
        <m:r>
          <m:t>a</m:t>
        </m:r>
        <m:r>
          <m:t>l</m:t>
        </m:r>
        <m:r>
          <m:t>a</m:t>
        </m:r>
        <m:r>
          <m:t>n</m:t>
        </m:r>
        <m:r>
          <m:t>c</m:t>
        </m:r>
        <m:r>
          <m:t>e</m:t>
        </m:r>
        <m:r>
          <m:rPr>
            <m:sty m:val="p"/>
          </m:rPr>
          <m:t>(</m:t>
        </m:r>
        <m:r>
          <m:t> </m:t>
        </m:r>
      </m:oMath>
      <w:r>
        <w:t xml:space="preserve">1.4 billion unsettled) and further unsecured issuance.</w:t>
      </w:r>
    </w:p>
    <w:p>
      <w:pPr>
        <w:pStyle w:val="BodyText"/>
      </w:pPr>
      <w:r>
        <w:rPr>
          <w:b/>
          <w:bCs/>
        </w:rPr>
        <w:t xml:space="preserve">6. Macro/rate backdrop.</w:t>
      </w:r>
      <w:r>
        <w:t xml:space="preserve"> </w:t>
      </w:r>
      <w:r>
        <w:t xml:space="preserve">Net-lease REITs are sensitive to the rate outlook, and Fed commentary has stayed hawkish into earnings season — Kansas City Fed President Jeff Schmid said this week that higher interest rates are needed to achieve the Fed's price stability goals, arguing current policy "is not restrictive." Persistent rate volatility affects both O's cost of debt and the multiple investors assign to its dividend yield.</w:t>
      </w:r>
    </w:p>
    <w:bookmarkEnd w:id="12"/>
    <w:bookmarkStart w:id="13" w:name="dividend-update"/>
    <w:p>
      <w:pPr>
        <w:pStyle w:val="Heading2"/>
      </w:pPr>
      <w:r>
        <w:t xml:space="preserve">Dividend Update</w:t>
      </w:r>
    </w:p>
    <w:p>
      <w:pPr>
        <w:pStyle w:val="FirstParagraph"/>
      </w:pPr>
      <w:r>
        <w:t xml:space="preserve">Realty Income just extended its dividend streak, with the monthly payout raised to $0.2710 per share, representing an annualized amount of $3.252 per share, and the company noting it has now declared 673 consecutive monthly dividends and are a member of the S&amp;P 500 Dividend Aristocrats index for having increased our dividend for over 31 consecutive years. At current prices that puts the yield in the high-4%/low-5% range — well above the broader market — though payout ratio (AFFO-based) remains comfortably below 75%, leaving room for continued modest increases.</w:t>
      </w:r>
    </w:p>
    <w:bookmarkEnd w:id="13"/>
    <w:bookmarkStart w:id="14" w:name="bottom-line"/>
    <w:p>
      <w:pPr>
        <w:pStyle w:val="Heading2"/>
      </w:pPr>
      <w:r>
        <w:t xml:space="preserve">Bottom Line</w:t>
      </w:r>
    </w:p>
    <w:p>
      <w:pPr>
        <w:pStyle w:val="FirstParagraph"/>
      </w:pPr>
      <w:r>
        <w:t xml:space="preserve">This is not likely to be a print driven by dramatic beats or misses — Realty Income's model is built for consistency, and Q1's results plus a raised full-year outlook already reset expectations higher. The more important storylines are</w:t>
      </w:r>
      <w:r>
        <w:t xml:space="preserve"> </w:t>
      </w:r>
      <w:r>
        <w:rPr>
          <w:b/>
          <w:bCs/>
        </w:rPr>
        <w:t xml:space="preserve">strategic</w:t>
      </w:r>
      <w:r>
        <w:t xml:space="preserve">: how fast the Apollo, GIC and U.S. Core Plus Fund vehicles scale, whether $9.5 billion of 2026 investment volume stays on pace, and whether elevated lease-termination income (a one-time-ish boost) masks or complements underlying same-store growth that is still guided at a modest 1.0%–1.3%. With shares giving back some of their 2026 gains into the print and sell-side sentiment mixed (bullish outliers around $80+ vs. more conservative</w:t>
      </w:r>
      <w:r>
        <w:t xml:space="preserve"> </w:t>
      </w:r>
      <m:oMath>
        <m:r>
          <m:t>60</m:t>
        </m:r>
        <m:r>
          <m:rPr>
            <m:sty m:val="p"/>
          </m:rPr>
          <m:t>–</m:t>
        </m:r>
      </m:oMath>
      <w:r>
        <w:t xml:space="preserve">75 ranges), the reaction to guidance commentary and private-capital scaling details is likely to matter more than the headline AFFO number itself.</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2026-08-05T01:11:58Z</dcterms:created>
  <dcterms:modified xsi:type="dcterms:W3CDTF">2026-08-05T01:11:58Z</dcterms:modified>
</cp:coreProperties>
</file>

<file path=docProps/custom.xml><?xml version="1.0" encoding="utf-8"?>
<Properties xmlns="http://schemas.openxmlformats.org/officeDocument/2006/custom-properties" xmlns:vt="http://schemas.openxmlformats.org/officeDocument/2006/docPropsVTypes"/>
</file>