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-earnings-predictions--2026-08-05"/>
    <w:p>
      <w:pPr>
        <w:pStyle w:val="Heading1"/>
      </w:pPr>
      <w:r>
        <w:t xml:space="preserve">O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AFFO per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~$1.10 vs. cons $1.09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~$1.52B vs. cons $1.50B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investment volume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~$2.60B vs. cons $2.40B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AFFO per share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~$4.43 vs. cons $4.43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Investment-volume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~$10.0B vs. cons $9.5B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Same-store rental-growth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~1.15% vs. cons 1.15%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The initial +1.2% residual fades toward +0.3% because an unchanged ~</w:t>
            </w:r>
            <m:oMath>
              <m:r>
                <m:t>4.43</m:t>
              </m:r>
              <m:r>
                <m:t>A</m:t>
              </m:r>
              <m:r>
                <m:t>F</m:t>
              </m:r>
              <m:r>
                <m:t>F</m:t>
              </m:r>
              <m:r>
                <m:t>O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4.43 consensus leaves implied second-half AFFO near ~</w:t>
            </w:r>
            <m:oMath>
              <m:r>
                <m:t>2.20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2.20 expected, producing little upward estimate revision despite stronger investment volume.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2026-08-05T01:11:24Z</dcterms:created>
  <dcterms:modified xsi:type="dcterms:W3CDTF">2026-08-05T01:11:24Z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