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f278aea13b9f3c9e43c93da001b82dfe2f8c2c"/>
    <w:p>
      <w:pPr>
        <w:pStyle w:val="Heading1"/>
      </w:pPr>
      <w:r>
        <w:t xml:space="preserve">Realty Income (NYSE: O) — Q2 2026 Earnings Preview</w:t>
      </w:r>
    </w:p>
    <w:p>
      <w:pPr>
        <w:pStyle w:val="BlockText"/>
      </w:pPr>
      <w:r>
        <w:rPr>
          <w:b/>
          <w:bCs/>
        </w:rPr>
        <w:t xml:space="preserve">Timing clarification:</w:t>
      </w:r>
      <w:r>
        <w:t xml:space="preserve"> </w:t>
      </w:r>
      <w:r>
        <w:t xml:space="preserve">Realty Income is scheduled to release results</w:t>
      </w:r>
      <w:r>
        <w:t xml:space="preserve"> </w:t>
      </w:r>
      <w:r>
        <w:rPr>
          <w:b/>
          <w:bCs/>
        </w:rPr>
        <w:t xml:space="preserve">after the market closes today, Wednesday, August 5, 2026</w:t>
      </w:r>
      <w:r>
        <w:t xml:space="preserve">, followed by its conference call at</w:t>
      </w:r>
      <w:r>
        <w:t xml:space="preserve"> </w:t>
      </w:r>
      <w:r>
        <w:rPr>
          <w:b/>
          <w:bCs/>
        </w:rPr>
        <w:t xml:space="preserve">5:00 p.m. ET / 2:00 p.m. PT</w:t>
      </w:r>
      <w:r>
        <w:t xml:space="preserve">. (</w:t>
      </w:r>
      <w:hyperlink r:id="rId9">
        <w:r>
          <w:rPr>
            <w:rStyle w:val="Hyperlink"/>
          </w:rPr>
          <w:t xml:space="preserve">realtyincome.com</w:t>
        </w:r>
      </w:hyperlink>
      <w:r>
        <w:t xml:space="preserve">)</w:t>
      </w:r>
    </w:p>
    <w:bookmarkStart w:id="11" w:name="executive-view"/>
    <w:p>
      <w:pPr>
        <w:pStyle w:val="Heading2"/>
      </w:pPr>
      <w:r>
        <w:t xml:space="preserve">Executive view</w:t>
      </w:r>
    </w:p>
    <w:p>
      <w:pPr>
        <w:pStyle w:val="FirstParagraph"/>
      </w:pPr>
      <w:r>
        <w:t xml:space="preserve">The headline AFFO number matters, but this report is primarily a test of whether Realty Income’s increasingly complex growth platform is producing</w:t>
      </w:r>
      <w:r>
        <w:t xml:space="preserve"> </w:t>
      </w:r>
      <w:r>
        <w:rPr>
          <w:b/>
          <w:bCs/>
        </w:rPr>
        <w:t xml:space="preserve">durable per-share growth without weakening the balance sheet</w:t>
      </w:r>
      <w:r>
        <w:t xml:space="preserve">.</w:t>
      </w:r>
    </w:p>
    <w:p>
      <w:pPr>
        <w:pStyle w:val="BodyText"/>
      </w:pPr>
      <w:r>
        <w:t xml:space="preserve">The setup appears constructive:</w:t>
      </w:r>
    </w:p>
    <w:p>
      <w:pPr>
        <w:pStyle w:val="Compact"/>
        <w:numPr>
          <w:ilvl w:val="0"/>
          <w:numId w:val="1001"/>
        </w:numPr>
      </w:pPr>
      <w:r>
        <w:t xml:space="preserve">Q1 AFFO per share rose 6.6% to $1.13.</w:t>
      </w:r>
    </w:p>
    <w:p>
      <w:pPr>
        <w:pStyle w:val="Compact"/>
        <w:numPr>
          <w:ilvl w:val="0"/>
          <w:numId w:val="1001"/>
        </w:numPr>
      </w:pPr>
      <w:r>
        <w:t xml:space="preserve">Management raised 2026 AFFO guidance to</w:t>
      </w:r>
      <w:r>
        <w:t xml:space="preserve"> </w:t>
      </w:r>
      <m:oMath>
        <m:r>
          <m:t>4.41</m:t>
        </m:r>
        <m:r>
          <m:rPr>
            <m:sty m:val="p"/>
          </m:rPr>
          <m:t>–</m:t>
        </m:r>
      </m:oMath>
      <w:r>
        <w:rPr>
          <w:b/>
          <w:bCs/>
        </w:rPr>
        <w:t xml:space="preserve">4.44</w:t>
      </w:r>
      <w:r>
        <w:t xml:space="preserve"> </w:t>
      </w:r>
      <w:r>
        <w:t xml:space="preserve">and investment guidance to</w:t>
      </w:r>
      <w:r>
        <w:t xml:space="preserve"> </w:t>
      </w:r>
      <w:r>
        <w:rPr>
          <w:b/>
          <w:bCs/>
        </w:rPr>
        <w:t xml:space="preserve">$9.5 billion</w:t>
      </w:r>
      <w:r>
        <w:t xml:space="preserve">.</w:t>
      </w:r>
    </w:p>
    <w:p>
      <w:pPr>
        <w:pStyle w:val="Compact"/>
        <w:numPr>
          <w:ilvl w:val="0"/>
          <w:numId w:val="1001"/>
        </w:numPr>
      </w:pPr>
      <w:r>
        <w:t xml:space="preserve">Occupancy, rent recapture and leverage were all healthy.</w:t>
      </w:r>
    </w:p>
    <w:p>
      <w:pPr>
        <w:pStyle w:val="Compact"/>
        <w:numPr>
          <w:ilvl w:val="0"/>
          <w:numId w:val="1001"/>
        </w:numPr>
      </w:pPr>
      <w:r>
        <w:t xml:space="preserve">Since quarter-end, Realty Income has announced a large data-center venture, issued attractively priced euro debt, expanded its revolving credit capacity and received an</w:t>
      </w:r>
      <w:r>
        <w:t xml:space="preserve"> </w:t>
      </w:r>
      <w:r>
        <w:rPr>
          <w:b/>
          <w:bCs/>
        </w:rPr>
        <w:t xml:space="preserve">A credit rating from Fitch</w:t>
      </w:r>
      <w:r>
        <w:t xml:space="preserve">. (</w:t>
      </w:r>
      <w:hyperlink r:id="rId10">
        <w:r>
          <w:rPr>
            <w:rStyle w:val="Hyperlink"/>
          </w:rPr>
          <w:t xml:space="preserve">realtyincome.com</w:t>
        </w:r>
      </w:hyperlink>
      <w:r>
        <w:t xml:space="preserve">)</w:t>
      </w:r>
    </w:p>
    <w:p>
      <w:pPr>
        <w:pStyle w:val="FirstParagraph"/>
      </w:pPr>
      <w:r>
        <w:t xml:space="preserve">The principal risk is that Q1 benefited from unusually high lease-termination income. Investors should expect Q2 AFFO to decline sequentially and focus on the underlying run rate rather than treating anything below Q1’s $1.13 as a disappointment.</w:t>
      </w:r>
    </w:p>
    <w:p>
      <w:r>
        <w:pict>
          <v:rect style="width:0;height:1.5pt" o:hralign="center" o:hrstd="t" o:hr="t"/>
        </w:pict>
      </w:r>
    </w:p>
    <w:bookmarkEnd w:id="11"/>
    <w:bookmarkStart w:id="13" w:name="key-expectations"/>
    <w:p>
      <w:pPr>
        <w:pStyle w:val="Heading2"/>
      </w:pPr>
      <w:r>
        <w:t xml:space="preserve">Key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investor benchmark</w:t>
            </w:r>
          </w:p>
        </w:tc>
      </w:tr>
      <w:tr>
        <w:tc>
          <w:tcPr/>
          <w:p>
            <w:pPr>
              <w:pStyle w:val="Compact"/>
            </w:pPr>
            <w:r>
              <w:t xml:space="preserve">AFFO per share</w:t>
            </w:r>
          </w:p>
        </w:tc>
        <w:tc>
          <w:tcPr/>
          <w:p>
            <w:pPr>
              <w:pStyle w:val="Compact"/>
              <w:jc w:val="right"/>
            </w:pPr>
            <w:r>
              <w:t xml:space="preserve">$1.13</w:t>
            </w:r>
          </w:p>
        </w:tc>
        <w:tc>
          <w:tcPr/>
          <w:p>
            <w:pPr>
              <w:pStyle w:val="Compact"/>
              <w:jc w:val="right"/>
            </w:pPr>
            <w:r>
              <w:t xml:space="preserve">Approximately</w:t>
            </w:r>
            <w:r>
              <w:t xml:space="preserve"> </w:t>
            </w:r>
            <m:oMath>
              <m:r>
                <m:t>1.09</m:t>
              </m:r>
              <m:r>
                <m:rPr>
                  <m:sty m:val="p"/>
                </m:rPr>
                <m:t>–</m:t>
              </m:r>
            </m:oMath>
            <w:r>
              <w:rPr>
                <w:b/>
                <w:bCs/>
              </w:rPr>
              <w:t xml:space="preserve">1.10</w:t>
            </w:r>
          </w:p>
        </w:tc>
      </w:tr>
      <w:tr>
        <w:tc>
          <w:tcPr/>
          <w:p>
            <w:pPr>
              <w:pStyle w:val="Compact"/>
            </w:pPr>
            <w:r>
              <w:t xml:space="preserve">Occupancy</w:t>
            </w:r>
          </w:p>
        </w:tc>
        <w:tc>
          <w:tcPr/>
          <w:p>
            <w:pPr>
              <w:pStyle w:val="Compact"/>
              <w:jc w:val="right"/>
            </w:pPr>
            <w:r>
              <w:t xml:space="preserve">98.9%</w:t>
            </w:r>
          </w:p>
        </w:tc>
        <w:tc>
          <w:tcPr/>
          <w:p>
            <w:pPr>
              <w:pStyle w:val="Compact"/>
              <w:jc w:val="right"/>
            </w:pPr>
            <w:r>
              <w:t xml:space="preserve">Preferably</w:t>
            </w:r>
            <w:r>
              <w:t xml:space="preserve"> </w:t>
            </w:r>
            <w:r>
              <w:rPr>
                <w:b/>
                <w:bCs/>
              </w:rPr>
              <w:t xml:space="preserve">≥98.5%</w:t>
            </w:r>
          </w:p>
        </w:tc>
      </w:tr>
      <w:tr>
        <w:tc>
          <w:tcPr/>
          <w:p>
            <w:pPr>
              <w:pStyle w:val="Compact"/>
            </w:pPr>
            <w:r>
              <w:t xml:space="preserve">Same-store rental growth</w:t>
            </w:r>
          </w:p>
        </w:tc>
        <w:tc>
          <w:tcPr/>
          <w:p>
            <w:pPr>
              <w:pStyle w:val="Compact"/>
              <w:jc w:val="right"/>
            </w:pPr>
            <w:r>
              <w:t xml:space="preserve">0.8%</w:t>
            </w:r>
          </w:p>
        </w:tc>
        <w:tc>
          <w:tcPr/>
          <w:p>
            <w:pPr>
              <w:pStyle w:val="Compact"/>
              <w:jc w:val="right"/>
            </w:pPr>
            <w:r>
              <w:t xml:space="preserve">Progress toward</w:t>
            </w:r>
            <w:r>
              <w:t xml:space="preserve"> </w:t>
            </w:r>
            <w:r>
              <w:rPr>
                <w:b/>
                <w:bCs/>
              </w:rPr>
              <w:t xml:space="preserve">1.0%–1.3%</w:t>
            </w:r>
            <w:r>
              <w:t xml:space="preserve"> </w:t>
            </w:r>
            <w:r>
              <w:t xml:space="preserve">guidance</w:t>
            </w:r>
          </w:p>
        </w:tc>
      </w:tr>
      <w:tr>
        <w:tc>
          <w:tcPr/>
          <w:p>
            <w:pPr>
              <w:pStyle w:val="Compact"/>
            </w:pPr>
            <w:r>
              <w:t xml:space="preserve">Rent recapture</w:t>
            </w:r>
          </w:p>
        </w:tc>
        <w:tc>
          <w:tcPr/>
          <w:p>
            <w:pPr>
              <w:pStyle w:val="Compact"/>
              <w:jc w:val="right"/>
            </w:pPr>
            <w:r>
              <w:t xml:space="preserve">103.4%</w:t>
            </w:r>
          </w:p>
        </w:tc>
        <w:tc>
          <w:tcPr/>
          <w:p>
            <w:pPr>
              <w:pStyle w:val="Compact"/>
              <w:jc w:val="right"/>
            </w:pPr>
            <w:r>
              <w:t xml:space="preserve">Preferably</w:t>
            </w:r>
            <w:r>
              <w:t xml:space="preserve"> </w:t>
            </w:r>
            <w:r>
              <w:rPr>
                <w:b/>
                <w:bCs/>
              </w:rPr>
              <w:t xml:space="preserve">above 100%</w:t>
            </w:r>
          </w:p>
        </w:tc>
      </w:tr>
      <w:tr>
        <w:tc>
          <w:tcPr/>
          <w:p>
            <w:pPr>
              <w:pStyle w:val="Compact"/>
            </w:pPr>
            <w:r>
              <w:t xml:space="preserve">Net debt / pro forma EBITDAre</w:t>
            </w:r>
          </w:p>
        </w:tc>
        <w:tc>
          <w:tcPr/>
          <w:p>
            <w:pPr>
              <w:pStyle w:val="Compact"/>
              <w:jc w:val="right"/>
            </w:pPr>
            <w:r>
              <w:t xml:space="preserve">5.2x</w:t>
            </w:r>
          </w:p>
        </w:tc>
        <w:tc>
          <w:tcPr/>
          <w:p>
            <w:pPr>
              <w:pStyle w:val="Compact"/>
              <w:jc w:val="right"/>
            </w:pPr>
            <w:r>
              <w:t xml:space="preserve">Ideally around</w:t>
            </w:r>
            <w:r>
              <w:t xml:space="preserve"> </w:t>
            </w:r>
            <w:r>
              <w:rPr>
                <w:b/>
                <w:bCs/>
              </w:rPr>
              <w:t xml:space="preserve">5.0x–5.3x</w:t>
            </w:r>
          </w:p>
        </w:tc>
      </w:tr>
      <w:tr>
        <w:tc>
          <w:tcPr/>
          <w:p>
            <w:pPr>
              <w:pStyle w:val="Compact"/>
            </w:pPr>
            <w:r>
              <w:t xml:space="preserve">2026 AFFO guidance</w:t>
            </w:r>
          </w:p>
        </w:tc>
        <w:tc>
          <w:tcPr/>
          <w:p>
            <w:pPr>
              <w:pStyle w:val="Compact"/>
              <w:jc w:val="right"/>
            </w:pPr>
            <m:oMath>
              <m:r>
                <m:t>4.41</m:t>
              </m:r>
              <m:r>
                <m:rPr>
                  <m:sty m:val="p"/>
                </m:rPr>
                <m:t>–</m:t>
              </m:r>
            </m:oMath>
            <w:r>
              <w:t xml:space="preserve">4.44</w:t>
            </w:r>
          </w:p>
        </w:tc>
        <w:tc>
          <w:tcPr/>
          <w:p>
            <w:pPr>
              <w:pStyle w:val="Compact"/>
              <w:jc w:val="right"/>
            </w:pPr>
            <w:r>
              <w:t xml:space="preserve">Maintain or modestly raise</w:t>
            </w:r>
          </w:p>
        </w:tc>
      </w:tr>
      <w:tr>
        <w:tc>
          <w:tcPr/>
          <w:p>
            <w:pPr>
              <w:pStyle w:val="Compact"/>
            </w:pPr>
            <w:r>
              <w:t xml:space="preserve">2026 investment guidance</w:t>
            </w:r>
          </w:p>
        </w:tc>
        <w:tc>
          <w:tcPr/>
          <w:p>
            <w:pPr>
              <w:pStyle w:val="Compact"/>
              <w:jc w:val="right"/>
            </w:pPr>
            <w:r>
              <w:t xml:space="preserve">$9.5B</w:t>
            </w:r>
          </w:p>
        </w:tc>
        <w:tc>
          <w:tcPr/>
          <w:p>
            <w:pPr>
              <w:pStyle w:val="Compact"/>
              <w:jc w:val="right"/>
            </w:pPr>
            <w:r>
              <w:t xml:space="preserve">Maintain, with clearer funding detail</w:t>
            </w:r>
          </w:p>
        </w:tc>
      </w:tr>
    </w:tbl>
    <w:p>
      <w:pPr>
        <w:pStyle w:val="BodyText"/>
      </w:pPr>
      <w:r>
        <w:t xml:space="preserve">One widely followed consensus source puts the adjusted earnings-style estimate at approximately</w:t>
      </w:r>
      <w:r>
        <w:t xml:space="preserve"> </w:t>
      </w:r>
      <m:oMath>
        <m:r>
          <m:t>1.09</m:t>
        </m:r>
        <m:r>
          <m:t>p</m:t>
        </m:r>
        <m:r>
          <m:t>e</m:t>
        </m:r>
        <m:r>
          <m:t>r</m:t>
        </m:r>
        <m:r>
          <m:t>s</m:t>
        </m:r>
        <m:r>
          <m:t>h</m:t>
        </m:r>
        <m:r>
          <m:t>a</m:t>
        </m:r>
        <m:r>
          <m:t>r</m:t>
        </m:r>
        <m:r>
          <m:t>e</m:t>
        </m:r>
        <m:r>
          <m:rPr>
            <m:sty m:val="p"/>
          </m:rPr>
          <m:t>*</m:t>
        </m:r>
        <m:r>
          <m:rPr>
            <m:sty m:val="p"/>
          </m:rPr>
          <m:t>*</m:t>
        </m:r>
        <m:r>
          <m:rPr>
            <m:sty m:val="p"/>
          </m:rPr>
          <m:t>,</m:t>
        </m:r>
        <m:r>
          <m:t>w</m:t>
        </m:r>
        <m:r>
          <m:t>h</m:t>
        </m:r>
        <m:r>
          <m:t>i</m:t>
        </m:r>
        <m:r>
          <m:t>l</m:t>
        </m:r>
        <m:r>
          <m:t>e</m:t>
        </m:r>
        <m:r>
          <m:t>p</m:t>
        </m:r>
        <m:r>
          <m:t>u</m:t>
        </m:r>
        <m:r>
          <m:t>b</m:t>
        </m:r>
        <m:r>
          <m:t>l</m:t>
        </m:r>
        <m:r>
          <m:t>i</m:t>
        </m:r>
        <m:r>
          <m:t>s</m:t>
        </m:r>
        <m:r>
          <m:t>h</m:t>
        </m:r>
        <m:r>
          <m:t>e</m:t>
        </m:r>
        <m:r>
          <m:t>d</m:t>
        </m:r>
        <m:r>
          <m:t>r</m:t>
        </m:r>
        <m:r>
          <m:t>e</m:t>
        </m:r>
        <m:r>
          <m:t>v</m:t>
        </m:r>
        <m:r>
          <m:t>e</m:t>
        </m:r>
        <m:r>
          <m:t>n</m:t>
        </m:r>
        <m:r>
          <m:t>u</m:t>
        </m:r>
        <m:r>
          <m:t>e</m:t>
        </m:r>
        <m:r>
          <m:t>f</m:t>
        </m:r>
        <m:r>
          <m:t>o</m:t>
        </m:r>
        <m:r>
          <m:t>r</m:t>
        </m:r>
        <m:r>
          <m:t>e</m:t>
        </m:r>
        <m:r>
          <m:t>c</m:t>
        </m:r>
        <m:r>
          <m:t>a</m:t>
        </m:r>
        <m:r>
          <m:t>s</m:t>
        </m:r>
        <m:r>
          <m:t>t</m:t>
        </m:r>
        <m:r>
          <m:t>s</m:t>
        </m:r>
        <m:r>
          <m:t>g</m:t>
        </m:r>
        <m:r>
          <m:t>e</m:t>
        </m:r>
        <m:r>
          <m:t>n</m:t>
        </m:r>
        <m:r>
          <m:t>e</m:t>
        </m:r>
        <m:r>
          <m:t>r</m:t>
        </m:r>
        <m:r>
          <m:t>a</m:t>
        </m:r>
        <m:r>
          <m:t>l</m:t>
        </m:r>
        <m:r>
          <m:t>l</m:t>
        </m:r>
        <m:r>
          <m:t>y</m:t>
        </m:r>
        <m:r>
          <m:t>c</m:t>
        </m:r>
        <m:r>
          <m:t>e</m:t>
        </m:r>
        <m:r>
          <m:t>n</m:t>
        </m:r>
        <m:r>
          <m:t>t</m:t>
        </m:r>
        <m:r>
          <m:t>e</m:t>
        </m:r>
        <m:r>
          <m:t>r</m:t>
        </m:r>
        <m:r>
          <m:t>a</m:t>
        </m:r>
        <m:r>
          <m:t>r</m:t>
        </m:r>
        <m:r>
          <m:t>o</m:t>
        </m:r>
        <m:r>
          <m:t>u</m:t>
        </m:r>
        <m:r>
          <m:t>n</m:t>
        </m:r>
        <m:r>
          <m:t>d</m:t>
        </m:r>
        <m:r>
          <m:t>r</m:t>
        </m:r>
        <m:r>
          <m:t>o</m:t>
        </m:r>
        <m:r>
          <m:t>u</m:t>
        </m:r>
        <m:r>
          <m:t>g</m:t>
        </m:r>
        <m:r>
          <m:t>h</m:t>
        </m:r>
        <m:r>
          <m:t>l</m:t>
        </m:r>
        <m:r>
          <m:t>y</m:t>
        </m:r>
        <m:r>
          <m:rPr>
            <m:sty m:val="p"/>
          </m:rPr>
          <m:t>*</m:t>
        </m:r>
        <m:r>
          <m:rPr>
            <m:sty m:val="p"/>
          </m:rPr>
          <m:t>*</m:t>
        </m:r>
      </m:oMath>
      <w:r>
        <w:rPr>
          <w:b/>
          <w:bCs/>
        </w:rPr>
        <w:t xml:space="preserve">1.5 billion</w:t>
      </w:r>
      <w:r>
        <w:t xml:space="preserve">. Investors should be careful with vendor terminology: some services label an AFFO-like figure as “EPS,” even though Realty Income’s GAAP EPS is materially lower because of real-estate depreciation. (</w:t>
      </w:r>
      <w:hyperlink r:id="rId12">
        <w:r>
          <w:rPr>
            <w:rStyle w:val="Hyperlink"/>
          </w:rPr>
          <w:t xml:space="preserve">benzinga.com</w:t>
        </w:r>
      </w:hyperlink>
      <w:r>
        <w:t xml:space="preserve">)</w:t>
      </w:r>
    </w:p>
    <w:p>
      <w:pPr>
        <w:pStyle w:val="BodyText"/>
      </w:pPr>
      <w:r>
        <w:t xml:space="preserve">The company’s guidance itself implies an average of approximately</w:t>
      </w:r>
      <w:r>
        <w:t xml:space="preserve"> </w:t>
      </w:r>
      <m:oMath>
        <m:r>
          <m:t>1.09</m:t>
        </m:r>
        <m:r>
          <m:rPr>
            <m:sty m:val="p"/>
          </m:rPr>
          <m:t>–</m:t>
        </m:r>
      </m:oMath>
      <w:r>
        <w:rPr>
          <w:b/>
          <w:bCs/>
        </w:rPr>
        <w:t xml:space="preserve">1.10 of AFFO per share</w:t>
      </w:r>
      <w:r>
        <w:t xml:space="preserve"> </w:t>
      </w:r>
      <w:r>
        <w:t xml:space="preserve">in each of the final three quarters after Q1’s $1.13.</w:t>
      </w:r>
    </w:p>
    <w:p>
      <w:r>
        <w:pict>
          <v:rect style="width:0;height:1.5pt" o:hralign="center" o:hrstd="t" o:hr="t"/>
        </w:pict>
      </w:r>
    </w:p>
    <w:bookmarkEnd w:id="13"/>
    <w:bookmarkStart w:id="15" w:name="Xb2b730c9ed0306d572551cfaf8dafb03f015a21"/>
    <w:p>
      <w:pPr>
        <w:pStyle w:val="Heading2"/>
      </w:pPr>
      <w:r>
        <w:t xml:space="preserve">1. Do not overreact to a sequential AFFO decline</w:t>
      </w:r>
    </w:p>
    <w:p>
      <w:pPr>
        <w:pStyle w:val="FirstParagraph"/>
      </w:pPr>
      <w:r>
        <w:t xml:space="preserve">Q1 included</w:t>
      </w:r>
      <w:r>
        <w:t xml:space="preserve"> </w:t>
      </w:r>
      <w:r>
        <w:rPr>
          <w:b/>
          <w:bCs/>
        </w:rPr>
        <w:t xml:space="preserve">$40.2 million of lease-termination income</w:t>
      </w:r>
      <w:r>
        <w:t xml:space="preserve">, versus full-year guidance of</w:t>
      </w:r>
      <w:r>
        <w:t xml:space="preserve"> </w:t>
      </w:r>
      <m:oMath>
        <m:r>
          <m:t>45</m:t>
        </m:r>
        <m:r>
          <m:rPr>
            <m:sty m:val="p"/>
          </m:rPr>
          <m:t>–</m:t>
        </m:r>
      </m:oMath>
      <w:r>
        <w:t xml:space="preserve">50 million. Management explicitly described that income as front-loaded and episodic rather than a recurring quarterly run rate. Q1 same-store rental growth was only 0.8%, but occupancy was 98.9%, rent recapture was 103.4%, and cash-basis bad-debt reserves remained modest. (</w:t>
      </w:r>
      <w:hyperlink r:id="rId14">
        <w:r>
          <w:rPr>
            <w:rStyle w:val="Hyperlink"/>
          </w:rPr>
          <w:t xml:space="preserve">sec.gov</w:t>
        </w:r>
      </w:hyperlink>
      <w:r>
        <w:t xml:space="preserve">)</w:t>
      </w:r>
    </w:p>
    <w:p>
      <w:pPr>
        <w:pStyle w:val="BodyText"/>
      </w:pPr>
      <w:r>
        <w:t xml:space="preserve">On a simple per-share basis, the Q1 termination income represented roughly $0.04. That does not mean every dollar was incremental, but it illustrates why a Q2 result near $1.09 could be perfectly respectable despite being below $1.13.</w:t>
      </w:r>
    </w:p>
    <w:p>
      <w:pPr>
        <w:pStyle w:val="BodyText"/>
      </w:pPr>
      <w:r>
        <w:rPr>
          <w:b/>
          <w:bCs/>
        </w:rPr>
        <w:t xml:space="preserve">What would be encouraging:</w:t>
      </w:r>
    </w:p>
    <w:p>
      <w:pPr>
        <w:pStyle w:val="Compact"/>
        <w:numPr>
          <w:ilvl w:val="0"/>
          <w:numId w:val="1002"/>
        </w:numPr>
      </w:pPr>
      <w:r>
        <w:t xml:space="preserve">AFFO of at least approximately $1.09.</w:t>
      </w:r>
    </w:p>
    <w:p>
      <w:pPr>
        <w:pStyle w:val="Compact"/>
        <w:numPr>
          <w:ilvl w:val="0"/>
          <w:numId w:val="1002"/>
        </w:numPr>
      </w:pPr>
      <w:r>
        <w:t xml:space="preserve">Same-store growth moving above Q1’s 0.8%.</w:t>
      </w:r>
    </w:p>
    <w:p>
      <w:pPr>
        <w:pStyle w:val="Compact"/>
        <w:numPr>
          <w:ilvl w:val="0"/>
          <w:numId w:val="1002"/>
        </w:numPr>
      </w:pPr>
      <w:r>
        <w:t xml:space="preserve">Occupancy remaining close to 99%.</w:t>
      </w:r>
    </w:p>
    <w:p>
      <w:pPr>
        <w:pStyle w:val="Compact"/>
        <w:numPr>
          <w:ilvl w:val="0"/>
          <w:numId w:val="1002"/>
        </w:numPr>
      </w:pPr>
      <w:r>
        <w:t xml:space="preserve">Rent recapture remaining above 100%.</w:t>
      </w:r>
    </w:p>
    <w:p>
      <w:pPr>
        <w:pStyle w:val="Compact"/>
        <w:numPr>
          <w:ilvl w:val="0"/>
          <w:numId w:val="1002"/>
        </w:numPr>
      </w:pPr>
      <w:r>
        <w:t xml:space="preserve">No material increase in cash bad debt or tenant reserves.</w:t>
      </w:r>
    </w:p>
    <w:p>
      <w:pPr>
        <w:pStyle w:val="FirstParagraph"/>
      </w:pPr>
      <w:r>
        <w:rPr>
          <w:b/>
          <w:bCs/>
        </w:rPr>
        <w:t xml:space="preserve">What would be concerning:</w:t>
      </w:r>
    </w:p>
    <w:p>
      <w:pPr>
        <w:pStyle w:val="Compact"/>
        <w:numPr>
          <w:ilvl w:val="0"/>
          <w:numId w:val="1003"/>
        </w:numPr>
      </w:pPr>
      <w:r>
        <w:t xml:space="preserve">AFFO below roughly $1.07 without a clear timing explanation.</w:t>
      </w:r>
    </w:p>
    <w:p>
      <w:pPr>
        <w:pStyle w:val="Compact"/>
        <w:numPr>
          <w:ilvl w:val="0"/>
          <w:numId w:val="1003"/>
        </w:numPr>
      </w:pPr>
      <w:r>
        <w:t xml:space="preserve">Same-store growth remaining below 1%.</w:t>
      </w:r>
    </w:p>
    <w:p>
      <w:pPr>
        <w:pStyle w:val="Compact"/>
        <w:numPr>
          <w:ilvl w:val="0"/>
          <w:numId w:val="1003"/>
        </w:numPr>
      </w:pPr>
      <w:r>
        <w:t xml:space="preserve">Occupancy falling below the company’s approximately 98.5% target.</w:t>
      </w:r>
    </w:p>
    <w:p>
      <w:pPr>
        <w:pStyle w:val="Compact"/>
        <w:numPr>
          <w:ilvl w:val="0"/>
          <w:numId w:val="1003"/>
        </w:numPr>
      </w:pPr>
      <w:r>
        <w:t xml:space="preserve">A deterioration in rent collection or credit-loss guidance.</w:t>
      </w:r>
    </w:p>
    <w:p>
      <w:r>
        <w:pict>
          <v:rect style="width:0;height:1.5pt" o:hralign="center" o:hrstd="t" o:hr="t"/>
        </w:pict>
      </w:r>
    </w:p>
    <w:bookmarkEnd w:id="15"/>
    <w:bookmarkStart w:id="16" w:name="X248594f052c101e7a37a865f789f15205dab666"/>
    <w:p>
      <w:pPr>
        <w:pStyle w:val="Heading2"/>
      </w:pPr>
      <w:r>
        <w:t xml:space="preserve">2. Guidance quality matters more than the quarterly beat</w:t>
      </w:r>
    </w:p>
    <w:p>
      <w:pPr>
        <w:pStyle w:val="FirstParagraph"/>
      </w:pPr>
      <w:r>
        <w:t xml:space="preserve">Following Q1, management raised:</w:t>
      </w:r>
    </w:p>
    <w:p>
      <w:pPr>
        <w:pStyle w:val="Compact"/>
        <w:numPr>
          <w:ilvl w:val="0"/>
          <w:numId w:val="1004"/>
        </w:numPr>
      </w:pPr>
      <w:r>
        <w:t xml:space="preserve">AFFO guidance from</w:t>
      </w:r>
      <w:r>
        <w:t xml:space="preserve"> </w:t>
      </w:r>
      <m:oMath>
        <m:r>
          <m:t>4.38</m:t>
        </m:r>
        <m:r>
          <m:rPr>
            <m:sty m:val="p"/>
          </m:rPr>
          <m:t>–</m:t>
        </m:r>
      </m:oMath>
      <w:r>
        <w:t xml:space="preserve">4.42 to</w:t>
      </w:r>
      <w:r>
        <w:t xml:space="preserve"> </w:t>
      </w:r>
      <m:oMath>
        <m:r>
          <m:t>4.41</m:t>
        </m:r>
        <m:r>
          <m:rPr>
            <m:sty m:val="p"/>
          </m:rPr>
          <m:t>–</m:t>
        </m:r>
      </m:oMath>
      <w:r>
        <w:rPr>
          <w:b/>
          <w:bCs/>
        </w:rPr>
        <w:t xml:space="preserve">4.44</w:t>
      </w:r>
      <w:r>
        <w:t xml:space="preserve">.</w:t>
      </w:r>
    </w:p>
    <w:p>
      <w:pPr>
        <w:pStyle w:val="Compact"/>
        <w:numPr>
          <w:ilvl w:val="0"/>
          <w:numId w:val="1004"/>
        </w:numPr>
      </w:pPr>
      <w:r>
        <w:t xml:space="preserve">Investment volume from</w:t>
      </w:r>
      <w:r>
        <w:t xml:space="preserve"> </w:t>
      </w:r>
      <m:oMath>
        <m:r>
          <m:t>8</m:t>
        </m:r>
        <m:r>
          <m:t>b</m:t>
        </m:r>
        <m:r>
          <m:t>i</m:t>
        </m:r>
        <m:r>
          <m:t>l</m:t>
        </m:r>
        <m:r>
          <m:t>l</m:t>
        </m:r>
        <m:r>
          <m:t>i</m:t>
        </m:r>
        <m:r>
          <m:t>o</m:t>
        </m:r>
        <m:r>
          <m:t>n</m:t>
        </m:r>
        <m:r>
          <m:t>t</m:t>
        </m:r>
        <m:r>
          <m:t>o</m:t>
        </m:r>
        <m:r>
          <m:rPr>
            <m:sty m:val="p"/>
          </m:rPr>
          <m:t>*</m:t>
        </m:r>
        <m:r>
          <m:rPr>
            <m:sty m:val="p"/>
          </m:rPr>
          <m:t>*</m:t>
        </m:r>
      </m:oMath>
      <w:r>
        <w:t xml:space="preserve">9.5 billion**.</w:t>
      </w:r>
    </w:p>
    <w:p>
      <w:pPr>
        <w:pStyle w:val="Compact"/>
        <w:numPr>
          <w:ilvl w:val="0"/>
          <w:numId w:val="1004"/>
        </w:numPr>
      </w:pPr>
      <w:r>
        <w:t xml:space="preserve">Lease-termination income to</w:t>
      </w:r>
      <w:r>
        <w:t xml:space="preserve"> </w:t>
      </w:r>
      <m:oMath>
        <m:r>
          <m:t>45</m:t>
        </m:r>
        <m:r>
          <m:rPr>
            <m:sty m:val="p"/>
          </m:rPr>
          <m:t>–</m:t>
        </m:r>
      </m:oMath>
      <w:r>
        <w:rPr>
          <w:b/>
          <w:bCs/>
        </w:rPr>
        <w:t xml:space="preserve">50 million</w:t>
      </w:r>
      <w:r>
        <w:t xml:space="preserve">.</w:t>
      </w:r>
    </w:p>
    <w:p>
      <w:pPr>
        <w:pStyle w:val="Compact"/>
        <w:numPr>
          <w:ilvl w:val="0"/>
          <w:numId w:val="1004"/>
        </w:numPr>
      </w:pPr>
      <w:r>
        <w:t xml:space="preserve">It also lowered its expected credit-loss rate to approximately 40 basis points of rental revenue. (</w:t>
      </w:r>
      <w:hyperlink r:id="rId10">
        <w:r>
          <w:rPr>
            <w:rStyle w:val="Hyperlink"/>
          </w:rPr>
          <w:t xml:space="preserve">realtyincome.com</w:t>
        </w:r>
      </w:hyperlink>
      <w:r>
        <w:t xml:space="preserve">)</w:t>
      </w:r>
    </w:p>
    <w:p>
      <w:pPr>
        <w:pStyle w:val="FirstParagraph"/>
      </w:pPr>
      <w:r>
        <w:t xml:space="preserve">A small guidance increase would be positive, but maintaining the range would not necessarily be disappointing. The key questions are:</w:t>
      </w:r>
    </w:p>
    <w:p>
      <w:pPr>
        <w:pStyle w:val="Compact"/>
        <w:numPr>
          <w:ilvl w:val="0"/>
          <w:numId w:val="1005"/>
        </w:numPr>
      </w:pPr>
      <w:r>
        <w:t xml:space="preserve">How much of the $9.5 billion pipeline is already closed or committed?</w:t>
      </w:r>
    </w:p>
    <w:p>
      <w:pPr>
        <w:pStyle w:val="Compact"/>
        <w:numPr>
          <w:ilvl w:val="0"/>
          <w:numId w:val="1005"/>
        </w:numPr>
      </w:pPr>
      <w:r>
        <w:t xml:space="preserve">How much is being funded on Realty Income’s own balance sheet?</w:t>
      </w:r>
    </w:p>
    <w:p>
      <w:pPr>
        <w:pStyle w:val="Compact"/>
        <w:numPr>
          <w:ilvl w:val="0"/>
          <w:numId w:val="1005"/>
        </w:numPr>
      </w:pPr>
      <w:r>
        <w:t xml:space="preserve">How much will be placed into private-capital vehicles?</w:t>
      </w:r>
    </w:p>
    <w:p>
      <w:pPr>
        <w:pStyle w:val="Compact"/>
        <w:numPr>
          <w:ilvl w:val="0"/>
          <w:numId w:val="1005"/>
        </w:numPr>
      </w:pPr>
      <w:r>
        <w:t xml:space="preserve">What is the expected cash yield relative to the marginal cost of debt and equity?</w:t>
      </w:r>
    </w:p>
    <w:p>
      <w:pPr>
        <w:pStyle w:val="Compact"/>
        <w:numPr>
          <w:ilvl w:val="0"/>
          <w:numId w:val="1005"/>
        </w:numPr>
      </w:pPr>
      <w:r>
        <w:t xml:space="preserve">Does management still see 3%–3.7% AFFO-per-share growth as comfortably achievable?</w:t>
      </w:r>
    </w:p>
    <w:p>
      <w:pPr>
        <w:pStyle w:val="FirstParagraph"/>
      </w:pPr>
      <w:r>
        <w:t xml:space="preserve">The best outcome would be a guidance increase supported by recurring rent, fee income and accretive investments—not another increase driven primarily by termination payments or accounting adjustments.</w:t>
      </w:r>
    </w:p>
    <w:p>
      <w:r>
        <w:pict>
          <v:rect style="width:0;height:1.5pt" o:hralign="center" o:hrstd="t" o:hr="t"/>
        </w:pict>
      </w:r>
    </w:p>
    <w:bookmarkEnd w:id="16"/>
    <w:bookmarkStart w:id="17" w:name="X6dfb1d9945b460269ac6a8d071e7cda680a4ec0"/>
    <w:p>
      <w:pPr>
        <w:pStyle w:val="Heading2"/>
      </w:pPr>
      <w:r>
        <w:t xml:space="preserve">3. Private capital must begin showing measurable economics</w:t>
      </w:r>
    </w:p>
    <w:p>
      <w:pPr>
        <w:pStyle w:val="FirstParagraph"/>
      </w:pPr>
      <w:r>
        <w:t xml:space="preserve">Realty Income entered 2026 emphasizing three alternative-capital channels:</w:t>
      </w:r>
    </w:p>
    <w:p>
      <w:pPr>
        <w:pStyle w:val="Compact"/>
        <w:numPr>
          <w:ilvl w:val="0"/>
          <w:numId w:val="1006"/>
        </w:numPr>
      </w:pPr>
      <w:r>
        <w:t xml:space="preserve">The perpetual-life U.S. Core Plus Fund.</w:t>
      </w:r>
    </w:p>
    <w:p>
      <w:pPr>
        <w:pStyle w:val="Compact"/>
        <w:numPr>
          <w:ilvl w:val="0"/>
          <w:numId w:val="1006"/>
        </w:numPr>
      </w:pPr>
      <w:r>
        <w:t xml:space="preserve">The Apollo insurance-capital partnership.</w:t>
      </w:r>
    </w:p>
    <w:p>
      <w:pPr>
        <w:pStyle w:val="Compact"/>
        <w:numPr>
          <w:ilvl w:val="0"/>
          <w:numId w:val="1006"/>
        </w:numPr>
      </w:pPr>
      <w:r>
        <w:t xml:space="preserve">The GIC development partnership.</w:t>
      </w:r>
    </w:p>
    <w:p>
      <w:pPr>
        <w:pStyle w:val="FirstParagraph"/>
      </w:pPr>
      <w:r>
        <w:t xml:space="preserve">At the Q1 call, management expected the initial</w:t>
      </w:r>
      <w:r>
        <w:t xml:space="preserve"> </w:t>
      </w:r>
      <w:r>
        <w:rPr>
          <w:b/>
          <w:bCs/>
        </w:rPr>
        <w:t xml:space="preserve">$1.7 billion of Core Plus equity to be fully deployed by the Q2 call</w:t>
      </w:r>
      <w:r>
        <w:t xml:space="preserve">, with more than $10 million of annualized base management fees once fully drawn.</w:t>
      </w:r>
    </w:p>
    <w:p>
      <w:pPr>
        <w:pStyle w:val="BodyText"/>
      </w:pPr>
      <w:r>
        <w:t xml:space="preserve">This report should establish whether that target was met and whether private capital is actually improving AFFO per share. Investors should listen for:</w:t>
      </w:r>
    </w:p>
    <w:p>
      <w:pPr>
        <w:pStyle w:val="Compact"/>
        <w:numPr>
          <w:ilvl w:val="0"/>
          <w:numId w:val="1007"/>
        </w:numPr>
      </w:pPr>
      <w:r>
        <w:t xml:space="preserve">Assets under management and uncalled commitments.</w:t>
      </w:r>
    </w:p>
    <w:p>
      <w:pPr>
        <w:pStyle w:val="Compact"/>
        <w:numPr>
          <w:ilvl w:val="0"/>
          <w:numId w:val="1007"/>
        </w:numPr>
      </w:pPr>
      <w:r>
        <w:t xml:space="preserve">Fee revenue recognized during Q2.</w:t>
      </w:r>
    </w:p>
    <w:p>
      <w:pPr>
        <w:pStyle w:val="Compact"/>
        <w:numPr>
          <w:ilvl w:val="0"/>
          <w:numId w:val="1007"/>
        </w:numPr>
      </w:pPr>
      <w:r>
        <w:t xml:space="preserve">Realty Income’s retained ownership and capital contribution.</w:t>
      </w:r>
    </w:p>
    <w:p>
      <w:pPr>
        <w:pStyle w:val="Compact"/>
        <w:numPr>
          <w:ilvl w:val="0"/>
          <w:numId w:val="1007"/>
        </w:numPr>
      </w:pPr>
      <w:r>
        <w:t xml:space="preserve">Any additional Apollo transactions.</w:t>
      </w:r>
    </w:p>
    <w:p>
      <w:pPr>
        <w:pStyle w:val="Compact"/>
        <w:numPr>
          <w:ilvl w:val="0"/>
          <w:numId w:val="1007"/>
        </w:numPr>
      </w:pPr>
      <w:r>
        <w:t xml:space="preserve">The economics of warehousing assets before they are transferred to a fund or joint venture.</w:t>
      </w:r>
    </w:p>
    <w:p>
      <w:pPr>
        <w:pStyle w:val="Compact"/>
        <w:numPr>
          <w:ilvl w:val="0"/>
          <w:numId w:val="1007"/>
        </w:numPr>
      </w:pPr>
      <w:r>
        <w:t xml:space="preserve">Whether private vehicles reduce the company’s dependence on common-equity issuance.</w:t>
      </w:r>
    </w:p>
    <w:p>
      <w:pPr>
        <w:pStyle w:val="FirstParagraph"/>
      </w:pPr>
      <w:r>
        <w:t xml:space="preserve">The strategic case is compelling: permanent third-party equity can widen Realty Income’s investment universe and generate capital-light fees. The counterargument is that funds, joint ventures, credit investments and pro-rata accounting make the business harder to evaluate. Better disclosure is therefore almost as important as growth.</w:t>
      </w:r>
    </w:p>
    <w:p>
      <w:r>
        <w:pict>
          <v:rect style="width:0;height:1.5pt" o:hralign="center" o:hrstd="t" o:hr="t"/>
        </w:pict>
      </w:r>
    </w:p>
    <w:bookmarkEnd w:id="17"/>
    <w:bookmarkStart w:id="19" w:name="Xfec045675b58ca20129adb4446e69ca6c52e756"/>
    <w:p>
      <w:pPr>
        <w:pStyle w:val="Heading2"/>
      </w:pPr>
      <w:r>
        <w:t xml:space="preserve">4. The data-center transaction changes the discussion</w:t>
      </w:r>
    </w:p>
    <w:p>
      <w:pPr>
        <w:pStyle w:val="FirstParagraph"/>
      </w:pPr>
      <w:r>
        <w:t xml:space="preserve">On June 30, Realty Income announced a programmatic data-center joint venture with Cloud Capital and a global institutional investor. Realty Income expects to invest up to</w:t>
      </w:r>
      <w:r>
        <w:t xml:space="preserve"> </w:t>
      </w:r>
      <w:r>
        <w:rPr>
          <w:b/>
          <w:bCs/>
        </w:rPr>
        <w:t xml:space="preserve">$1.4 billion for a 45% interest</w:t>
      </w:r>
      <w:r>
        <w:t xml:space="preserve"> </w:t>
      </w:r>
      <w:r>
        <w:t xml:space="preserve">in three Northern Virginia assets, with approximately $700 million expected to be funded during Q2 and Q3. The assets are leased or pre-leased to investment-grade hyperscale tenants under 15- to 20-year triple-net leases. (</w:t>
      </w:r>
      <w:hyperlink r:id="rId18">
        <w:r>
          <w:rPr>
            <w:rStyle w:val="Hyperlink"/>
          </w:rPr>
          <w:t xml:space="preserve">realtyincome.com</w:t>
        </w:r>
      </w:hyperlink>
      <w:r>
        <w:t xml:space="preserve">)</w:t>
      </w:r>
    </w:p>
    <w:p>
      <w:pPr>
        <w:pStyle w:val="BodyText"/>
      </w:pPr>
      <w:r>
        <w:t xml:space="preserve">This is potentially attractive because it combines long leases, investment-grade tenants, rent escalators and secular cloud/AI demand. It also introduces material questions:</w:t>
      </w:r>
    </w:p>
    <w:p>
      <w:pPr>
        <w:pStyle w:val="Compact"/>
        <w:numPr>
          <w:ilvl w:val="0"/>
          <w:numId w:val="1008"/>
        </w:numPr>
      </w:pPr>
      <w:r>
        <w:t xml:space="preserve">How much of the initial funding occurred in Q2?</w:t>
      </w:r>
    </w:p>
    <w:p>
      <w:pPr>
        <w:pStyle w:val="Compact"/>
        <w:numPr>
          <w:ilvl w:val="0"/>
          <w:numId w:val="1008"/>
        </w:numPr>
      </w:pPr>
      <w:r>
        <w:t xml:space="preserve">Is the investment included in the $9.5 billion guidance?</w:t>
      </w:r>
    </w:p>
    <w:p>
      <w:pPr>
        <w:pStyle w:val="Compact"/>
        <w:numPr>
          <w:ilvl w:val="0"/>
          <w:numId w:val="1008"/>
        </w:numPr>
      </w:pPr>
      <w:r>
        <w:t xml:space="preserve">What is the initial cash yield?</w:t>
      </w:r>
    </w:p>
    <w:p>
      <w:pPr>
        <w:pStyle w:val="Compact"/>
        <w:numPr>
          <w:ilvl w:val="0"/>
          <w:numId w:val="1008"/>
        </w:numPr>
      </w:pPr>
      <w:r>
        <w:t xml:space="preserve">How much development and completion risk remains?</w:t>
      </w:r>
    </w:p>
    <w:p>
      <w:pPr>
        <w:pStyle w:val="Compact"/>
        <w:numPr>
          <w:ilvl w:val="0"/>
          <w:numId w:val="1008"/>
        </w:numPr>
      </w:pPr>
      <w:r>
        <w:t xml:space="preserve">Who bears cost overruns, power-delivery delays and construction risk?</w:t>
      </w:r>
    </w:p>
    <w:p>
      <w:pPr>
        <w:pStyle w:val="Compact"/>
        <w:numPr>
          <w:ilvl w:val="0"/>
          <w:numId w:val="1008"/>
        </w:numPr>
      </w:pPr>
      <w:r>
        <w:t xml:space="preserve">How concentrated is the venture by tenant?</w:t>
      </w:r>
    </w:p>
    <w:p>
      <w:pPr>
        <w:pStyle w:val="Compact"/>
        <w:numPr>
          <w:ilvl w:val="0"/>
          <w:numId w:val="1008"/>
        </w:numPr>
      </w:pPr>
      <w:r>
        <w:t xml:space="preserve">Will the expected return justify the specialized residual-value risk of data centers?</w:t>
      </w:r>
    </w:p>
    <w:p>
      <w:pPr>
        <w:pStyle w:val="FirstParagraph"/>
      </w:pPr>
      <w:r>
        <w:t xml:space="preserve">A clear, transparent explanation could improve investors’ view of Realty Income’s growth runway. Limited disclosure would increase concern that the company is moving beyond traditional net lease faster than investors can assess the risk.</w:t>
      </w:r>
    </w:p>
    <w:p>
      <w:r>
        <w:pict>
          <v:rect style="width:0;height:1.5pt" o:hralign="center" o:hrstd="t" o:hr="t"/>
        </w:pict>
      </w:r>
    </w:p>
    <w:bookmarkEnd w:id="19"/>
    <w:bookmarkStart w:id="21" w:name="X80f5733ab661497ad61cef53cc861f2e5357bf0"/>
    <w:p>
      <w:pPr>
        <w:pStyle w:val="Heading2"/>
      </w:pPr>
      <w:r>
        <w:t xml:space="preserve">5. Balance-sheet discipline remains the gating factor</w:t>
      </w:r>
    </w:p>
    <w:p>
      <w:pPr>
        <w:pStyle w:val="FirstParagraph"/>
      </w:pPr>
      <w:r>
        <w:t xml:space="preserve">Realty Income ended Q1 with:</w:t>
      </w:r>
    </w:p>
    <w:p>
      <w:pPr>
        <w:pStyle w:val="Compact"/>
        <w:numPr>
          <w:ilvl w:val="0"/>
          <w:numId w:val="1009"/>
        </w:numPr>
      </w:pPr>
      <w:r>
        <w:rPr>
          <w:b/>
          <w:bCs/>
        </w:rPr>
        <w:t xml:space="preserve">5.2x</w:t>
      </w:r>
      <w:r>
        <w:t xml:space="preserve"> </w:t>
      </w:r>
      <w:r>
        <w:t xml:space="preserve">net debt to annualized pro forma adjusted EBITDAre.</w:t>
      </w:r>
    </w:p>
    <w:p>
      <w:pPr>
        <w:pStyle w:val="Compact"/>
        <w:numPr>
          <w:ilvl w:val="0"/>
          <w:numId w:val="1009"/>
        </w:numPr>
      </w:pPr>
      <w:r>
        <w:t xml:space="preserve">Approximately</w:t>
      </w:r>
      <w:r>
        <w:t xml:space="preserve"> </w:t>
      </w:r>
      <w:r>
        <w:rPr>
          <w:b/>
          <w:bCs/>
        </w:rPr>
        <w:t xml:space="preserve">$3.9 billion</w:t>
      </w:r>
      <w:r>
        <w:t xml:space="preserve"> </w:t>
      </w:r>
      <w:r>
        <w:t xml:space="preserve">of pro-rata liquidity.</w:t>
      </w:r>
    </w:p>
    <w:p>
      <w:pPr>
        <w:pStyle w:val="Compact"/>
        <w:numPr>
          <w:ilvl w:val="0"/>
          <w:numId w:val="1009"/>
        </w:numPr>
      </w:pPr>
      <w:r>
        <w:t xml:space="preserve">Roughly $1.4 billion of unsettled ATM forward-equity proceeds after subsequent activity.</w:t>
      </w:r>
    </w:p>
    <w:p>
      <w:pPr>
        <w:pStyle w:val="Compact"/>
        <w:numPr>
          <w:ilvl w:val="0"/>
          <w:numId w:val="1009"/>
        </w:numPr>
      </w:pPr>
      <w:r>
        <w:t xml:space="preserve">4.7x fixed-charge coverage. (</w:t>
      </w:r>
      <w:hyperlink r:id="rId14">
        <w:r>
          <w:rPr>
            <w:rStyle w:val="Hyperlink"/>
          </w:rPr>
          <w:t xml:space="preserve">sec.gov</w:t>
        </w:r>
      </w:hyperlink>
      <w:r>
        <w:t xml:space="preserve">)</w:t>
      </w:r>
    </w:p>
    <w:p>
      <w:pPr>
        <w:pStyle w:val="FirstParagraph"/>
      </w:pPr>
      <w:r>
        <w:t xml:space="preserve">Subsequent financing developments were favorable:</w:t>
      </w:r>
    </w:p>
    <w:p>
      <w:pPr>
        <w:pStyle w:val="Compact"/>
        <w:numPr>
          <w:ilvl w:val="0"/>
          <w:numId w:val="1010"/>
        </w:numPr>
      </w:pPr>
      <w:r>
        <w:t xml:space="preserve">It priced</w:t>
      </w:r>
      <w:r>
        <w:t xml:space="preserve"> </w:t>
      </w:r>
      <w:r>
        <w:rPr>
          <w:b/>
          <w:bCs/>
        </w:rPr>
        <w:t xml:space="preserve">€600 million of 3.625% notes due 2032</w:t>
      </w:r>
      <w:r>
        <w:t xml:space="preserve"> </w:t>
      </w:r>
      <w:r>
        <w:t xml:space="preserve">at a 3.716% effective yield.</w:t>
      </w:r>
    </w:p>
    <w:p>
      <w:pPr>
        <w:pStyle w:val="Compact"/>
        <w:numPr>
          <w:ilvl w:val="0"/>
          <w:numId w:val="1010"/>
        </w:numPr>
      </w:pPr>
      <w:r>
        <w:t xml:space="preserve">It increased its revolving credit facilities from</w:t>
      </w:r>
      <w:r>
        <w:t xml:space="preserve"> </w:t>
      </w:r>
      <m:oMath>
        <m:r>
          <m:t>4.0</m:t>
        </m:r>
        <m:r>
          <m:t>b</m:t>
        </m:r>
        <m:r>
          <m:t>i</m:t>
        </m:r>
        <m:r>
          <m:t>l</m:t>
        </m:r>
        <m:r>
          <m:t>l</m:t>
        </m:r>
        <m:r>
          <m:t>i</m:t>
        </m:r>
        <m:r>
          <m:t>o</m:t>
        </m:r>
        <m:r>
          <m:t>n</m:t>
        </m:r>
        <m:r>
          <m:t>t</m:t>
        </m:r>
        <m:r>
          <m:t>o</m:t>
        </m:r>
        <m:r>
          <m:rPr>
            <m:sty m:val="p"/>
          </m:rPr>
          <m:t>*</m:t>
        </m:r>
        <m:r>
          <m:rPr>
            <m:sty m:val="p"/>
          </m:rPr>
          <m:t>*</m:t>
        </m:r>
      </m:oMath>
      <w:r>
        <w:t xml:space="preserve">5.5 billion**, with an accordion to $6.5 billion.</w:t>
      </w:r>
    </w:p>
    <w:p>
      <w:pPr>
        <w:pStyle w:val="Compact"/>
        <w:numPr>
          <w:ilvl w:val="0"/>
          <w:numId w:val="1010"/>
        </w:numPr>
      </w:pPr>
      <w:r>
        <w:t xml:space="preserve">It expanded its commercial-paper capacity to $5.5 billion.</w:t>
      </w:r>
    </w:p>
    <w:p>
      <w:pPr>
        <w:pStyle w:val="Compact"/>
        <w:numPr>
          <w:ilvl w:val="0"/>
          <w:numId w:val="1010"/>
        </w:numPr>
      </w:pPr>
      <w:r>
        <w:t xml:space="preserve">Fitch assigned Realty Income an</w:t>
      </w:r>
      <w:r>
        <w:t xml:space="preserve"> </w:t>
      </w:r>
      <w:r>
        <w:rPr>
          <w:b/>
          <w:bCs/>
        </w:rPr>
        <w:t xml:space="preserve">A credit rating</w:t>
      </w:r>
      <w:r>
        <w:t xml:space="preserve">. (</w:t>
      </w:r>
      <w:hyperlink r:id="rId20">
        <w:r>
          <w:rPr>
            <w:rStyle w:val="Hyperlink"/>
          </w:rPr>
          <w:t xml:space="preserve">realtyincome.com</w:t>
        </w:r>
      </w:hyperlink>
      <w:r>
        <w:t xml:space="preserve">)</w:t>
      </w:r>
    </w:p>
    <w:p>
      <w:pPr>
        <w:pStyle w:val="FirstParagraph"/>
      </w:pPr>
      <w:r>
        <w:t xml:space="preserve">These moves improve flexibility, but Q2 investment activity and the data-center commitment could raise leverage. A leverage ratio around 5.2x would be healthy. A move materially above 5.5x—without pending equity settlements or asset sales that quickly reverse it—would weaken the earnings story.</w:t>
      </w:r>
    </w:p>
    <w:p>
      <w:pPr>
        <w:pStyle w:val="BodyText"/>
      </w:pPr>
      <w:r>
        <w:t xml:space="preserve">Also watch the updated disposition forecast. Management previously reiterated approximately $750 million for 2026. Dispositions above that level could protect leverage but may dilute near-term AFFO if reinvestment is delayed.</w:t>
      </w:r>
    </w:p>
    <w:p>
      <w:r>
        <w:pict>
          <v:rect style="width:0;height:1.5pt" o:hralign="center" o:hrstd="t" o:hr="t"/>
        </w:pict>
      </w:r>
    </w:p>
    <w:bookmarkEnd w:id="21"/>
    <w:bookmarkStart w:id="22" w:name="X86fee5f5dcd2eb07288caa0682915322dec49b0"/>
    <w:p>
      <w:pPr>
        <w:pStyle w:val="Heading2"/>
      </w:pPr>
      <w:r>
        <w:t xml:space="preserve">6. Portfolio health and tenant credit</w:t>
      </w:r>
    </w:p>
    <w:p>
      <w:pPr>
        <w:pStyle w:val="FirstParagraph"/>
      </w:pPr>
      <w:r>
        <w:t xml:space="preserve">Realty Income’s portfolio remains highly diversified, but the top exposures include Dollar General, 7-Eleven, Walgreens, Family Dollar, Life Time, Wynn, EG Group and Asda. At March 31, Dollar General, 7-Eleven and Walgreens each represented just over 3% of annualized base rent. (</w:t>
      </w:r>
      <w:hyperlink r:id="rId14">
        <w:r>
          <w:rPr>
            <w:rStyle w:val="Hyperlink"/>
          </w:rPr>
          <w:t xml:space="preserve">sec.gov</w:t>
        </w:r>
      </w:hyperlink>
      <w:r>
        <w:t xml:space="preserve">)</w:t>
      </w:r>
    </w:p>
    <w:p>
      <w:pPr>
        <w:pStyle w:val="BodyText"/>
      </w:pPr>
      <w:r>
        <w:t xml:space="preserve">The Q1 weak spot was theaters: same-store theater revenue declined 10.4% year over year, although theaters represented only 1.8% of annualized base rent. Management attributed the decline to restructurings, accounting comparisons and a greater use of percentage rent. (</w:t>
      </w:r>
      <w:hyperlink r:id="rId14">
        <w:r>
          <w:rPr>
            <w:rStyle w:val="Hyperlink"/>
          </w:rPr>
          <w:t xml:space="preserve">sec.gov</w:t>
        </w:r>
      </w:hyperlink>
      <w:r>
        <w:t xml:space="preserve">)</w:t>
      </w:r>
    </w:p>
    <w:p>
      <w:pPr>
        <w:pStyle w:val="BodyText"/>
      </w:pPr>
      <w:r>
        <w:t xml:space="preserve">Investors should seek updates on:</w:t>
      </w:r>
    </w:p>
    <w:p>
      <w:pPr>
        <w:pStyle w:val="Compact"/>
        <w:numPr>
          <w:ilvl w:val="0"/>
          <w:numId w:val="1011"/>
        </w:numPr>
      </w:pPr>
      <w:r>
        <w:t xml:space="preserve">Walgreens and Family Dollar exposure.</w:t>
      </w:r>
    </w:p>
    <w:p>
      <w:pPr>
        <w:pStyle w:val="Compact"/>
        <w:numPr>
          <w:ilvl w:val="0"/>
          <w:numId w:val="1011"/>
        </w:numPr>
      </w:pPr>
      <w:r>
        <w:t xml:space="preserve">Theater rent collections and percentage-rent recovery.</w:t>
      </w:r>
    </w:p>
    <w:p>
      <w:pPr>
        <w:pStyle w:val="Compact"/>
        <w:numPr>
          <w:ilvl w:val="0"/>
          <w:numId w:val="1011"/>
        </w:numPr>
      </w:pPr>
      <w:r>
        <w:t xml:space="preserve">The tenant watchlist.</w:t>
      </w:r>
    </w:p>
    <w:p>
      <w:pPr>
        <w:pStyle w:val="Compact"/>
        <w:numPr>
          <w:ilvl w:val="0"/>
          <w:numId w:val="1011"/>
        </w:numPr>
      </w:pPr>
      <w:r>
        <w:t xml:space="preserve">Cash accounting tenants.</w:t>
      </w:r>
    </w:p>
    <w:p>
      <w:pPr>
        <w:pStyle w:val="Compact"/>
        <w:numPr>
          <w:ilvl w:val="0"/>
          <w:numId w:val="1011"/>
        </w:numPr>
      </w:pPr>
      <w:r>
        <w:t xml:space="preserve">Credit-loss reserves on the expanding loan portfolio.</w:t>
      </w:r>
    </w:p>
    <w:p>
      <w:pPr>
        <w:pStyle w:val="Compact"/>
        <w:numPr>
          <w:ilvl w:val="0"/>
          <w:numId w:val="1011"/>
        </w:numPr>
      </w:pPr>
      <w:r>
        <w:t xml:space="preserve">Any bankruptcy-related vacancies or rent modifications.</w:t>
      </w:r>
    </w:p>
    <w:p>
      <w:pPr>
        <w:pStyle w:val="FirstParagraph"/>
      </w:pPr>
      <w:r>
        <w:t xml:space="preserve">Stable occupancy by itself is not enough; the market will want confirmation that portfolio credit is not quietly deteriorating.</w:t>
      </w:r>
    </w:p>
    <w:p>
      <w:r>
        <w:pict>
          <v:rect style="width:0;height:1.5pt" o:hralign="center" o:hrstd="t" o:hr="t"/>
        </w:pict>
      </w:r>
    </w:p>
    <w:bookmarkEnd w:id="22"/>
    <w:bookmarkStart w:id="27" w:name="valuation-and-likely-stock-reaction"/>
    <w:p>
      <w:pPr>
        <w:pStyle w:val="Heading2"/>
      </w:pPr>
      <w:r>
        <w:t xml:space="preserve">Valuation and likely stock reaction</w:t>
      </w:r>
    </w:p>
    <w:p>
      <w:pPr>
        <w:pStyle w:val="FirstParagraph"/>
      </w:pPr>
      <w:r>
        <w:t xml:space="preserve">At the August 4 close of</w:t>
      </w:r>
      <w:r>
        <w:t xml:space="preserve"> </w:t>
      </w:r>
      <w:r>
        <w:rPr>
          <w:b/>
          <w:bCs/>
        </w:rPr>
        <w:t xml:space="preserve">$62.92</w:t>
      </w:r>
      <w:r>
        <w:t xml:space="preserve">, Realty Income trades at approximately:</w:t>
      </w:r>
    </w:p>
    <w:p>
      <w:pPr>
        <w:pStyle w:val="Compact"/>
        <w:numPr>
          <w:ilvl w:val="0"/>
          <w:numId w:val="1012"/>
        </w:numPr>
      </w:pPr>
      <w:r>
        <w:rPr>
          <w:b/>
          <w:bCs/>
        </w:rPr>
        <w:t xml:space="preserve">14.2x</w:t>
      </w:r>
      <w:r>
        <w:t xml:space="preserve"> </w:t>
      </w:r>
      <w:r>
        <w:t xml:space="preserve">the midpoint of 2026 AFFO guidance.</w:t>
      </w:r>
    </w:p>
    <w:p>
      <w:pPr>
        <w:pStyle w:val="Compact"/>
        <w:numPr>
          <w:ilvl w:val="0"/>
          <w:numId w:val="1012"/>
        </w:numPr>
      </w:pPr>
      <w:r>
        <w:t xml:space="preserve">A</w:t>
      </w:r>
      <w:r>
        <w:t xml:space="preserve"> </w:t>
      </w:r>
      <w:r>
        <w:rPr>
          <w:b/>
          <w:bCs/>
        </w:rPr>
        <w:t xml:space="preserve">5.2% indicated dividend yield</w:t>
      </w:r>
      <w:r>
        <w:t xml:space="preserve">, based on the current $3.252 annualized dividend.</w:t>
      </w:r>
    </w:p>
    <w:p>
      <w:pPr>
        <w:pStyle w:val="FirstParagraph"/>
      </w:pPr>
      <w:r>
        <w:t xml:space="preserve">The monthly dividend was raised in June to $0.271 per share, and the company declared its 673rd consecutive monthly dividend in July. (</w:t>
      </w:r>
      <w:hyperlink r:id="rId23">
        <w:r>
          <w:rPr>
            <w:rStyle w:val="Hyperlink"/>
          </w:rPr>
          <w:t xml:space="preserve">realtyincome.com</w:t>
        </w:r>
      </w:hyperlink>
      <w:r>
        <w:t xml:space="preserve">)</w:t>
      </w:r>
    </w:p>
    <w:p>
      <w:pPr>
        <w:pStyle w:val="BodyText"/>
      </w:pPr>
      <w:r>
        <w:t xml:space="preserve">That valuation is not demanding, but the stock probably needs more than a one-cent AFFO beat to move materially higher.</w:t>
      </w:r>
    </w:p>
    <w:bookmarkStart w:id="24" w:name="bullish-result"/>
    <w:p>
      <w:pPr>
        <w:pStyle w:val="Heading3"/>
      </w:pPr>
      <w:r>
        <w:t xml:space="preserve">Bullish result</w:t>
      </w:r>
    </w:p>
    <w:p>
      <w:pPr>
        <w:pStyle w:val="Compact"/>
        <w:numPr>
          <w:ilvl w:val="0"/>
          <w:numId w:val="1013"/>
        </w:numPr>
      </w:pPr>
      <w:r>
        <w:t xml:space="preserve">AFFO of $1.10 or better.</w:t>
      </w:r>
    </w:p>
    <w:p>
      <w:pPr>
        <w:pStyle w:val="Compact"/>
        <w:numPr>
          <w:ilvl w:val="0"/>
          <w:numId w:val="1013"/>
        </w:numPr>
      </w:pPr>
      <w:r>
        <w:t xml:space="preserve">Full-year guidance raised.</w:t>
      </w:r>
    </w:p>
    <w:p>
      <w:pPr>
        <w:pStyle w:val="Compact"/>
        <w:numPr>
          <w:ilvl w:val="0"/>
          <w:numId w:val="1013"/>
        </w:numPr>
      </w:pPr>
      <w:r>
        <w:t xml:space="preserve">Same-store growth above 1%.</w:t>
      </w:r>
    </w:p>
    <w:p>
      <w:pPr>
        <w:pStyle w:val="Compact"/>
        <w:numPr>
          <w:ilvl w:val="0"/>
          <w:numId w:val="1013"/>
        </w:numPr>
      </w:pPr>
      <w:r>
        <w:t xml:space="preserve">Investment pipeline remains strong at attractive spreads.</w:t>
      </w:r>
    </w:p>
    <w:p>
      <w:pPr>
        <w:pStyle w:val="Compact"/>
        <w:numPr>
          <w:ilvl w:val="0"/>
          <w:numId w:val="1013"/>
        </w:numPr>
      </w:pPr>
      <w:r>
        <w:t xml:space="preserve">Core Plus fully deployed with visible fee income.</w:t>
      </w:r>
    </w:p>
    <w:p>
      <w:pPr>
        <w:pStyle w:val="Compact"/>
        <w:numPr>
          <w:ilvl w:val="0"/>
          <w:numId w:val="1013"/>
        </w:numPr>
      </w:pPr>
      <w:r>
        <w:t xml:space="preserve">Leverage no higher than approximately 5.2x.</w:t>
      </w:r>
    </w:p>
    <w:p>
      <w:pPr>
        <w:pStyle w:val="Compact"/>
        <w:numPr>
          <w:ilvl w:val="0"/>
          <w:numId w:val="1013"/>
        </w:numPr>
      </w:pPr>
      <w:r>
        <w:t xml:space="preserve">Detailed, reassuring data-center disclosure.</w:t>
      </w:r>
    </w:p>
    <w:bookmarkEnd w:id="24"/>
    <w:bookmarkStart w:id="25" w:name="neutral-result"/>
    <w:p>
      <w:pPr>
        <w:pStyle w:val="Heading3"/>
      </w:pPr>
      <w:r>
        <w:t xml:space="preserve">Neutral result</w:t>
      </w:r>
    </w:p>
    <w:p>
      <w:pPr>
        <w:pStyle w:val="Compact"/>
        <w:numPr>
          <w:ilvl w:val="0"/>
          <w:numId w:val="1014"/>
        </w:numPr>
      </w:pPr>
      <w:r>
        <w:t xml:space="preserve">AFFO around $1.09.</w:t>
      </w:r>
    </w:p>
    <w:p>
      <w:pPr>
        <w:pStyle w:val="Compact"/>
        <w:numPr>
          <w:ilvl w:val="0"/>
          <w:numId w:val="1014"/>
        </w:numPr>
      </w:pPr>
      <w:r>
        <w:t xml:space="preserve">Guidance maintained.</w:t>
      </w:r>
    </w:p>
    <w:p>
      <w:pPr>
        <w:pStyle w:val="Compact"/>
        <w:numPr>
          <w:ilvl w:val="0"/>
          <w:numId w:val="1014"/>
        </w:numPr>
      </w:pPr>
      <w:r>
        <w:t xml:space="preserve">Occupancy around 98.7%–98.9%.</w:t>
      </w:r>
    </w:p>
    <w:p>
      <w:pPr>
        <w:pStyle w:val="Compact"/>
        <w:numPr>
          <w:ilvl w:val="0"/>
          <w:numId w:val="1014"/>
        </w:numPr>
      </w:pPr>
      <w:r>
        <w:t xml:space="preserve">Leverage modestly higher because of investment timing.</w:t>
      </w:r>
    </w:p>
    <w:p>
      <w:pPr>
        <w:pStyle w:val="Compact"/>
        <w:numPr>
          <w:ilvl w:val="0"/>
          <w:numId w:val="1014"/>
        </w:numPr>
      </w:pPr>
      <w:r>
        <w:t xml:space="preserve">Private-capital progress, but limited immediate earnings contribution.</w:t>
      </w:r>
    </w:p>
    <w:bookmarkEnd w:id="25"/>
    <w:bookmarkStart w:id="26" w:name="bearish-result"/>
    <w:p>
      <w:pPr>
        <w:pStyle w:val="Heading3"/>
      </w:pPr>
      <w:r>
        <w:t xml:space="preserve">Bearish result</w:t>
      </w:r>
    </w:p>
    <w:p>
      <w:pPr>
        <w:pStyle w:val="Compact"/>
        <w:numPr>
          <w:ilvl w:val="0"/>
          <w:numId w:val="1015"/>
        </w:numPr>
      </w:pPr>
      <w:r>
        <w:t xml:space="preserve">AFFO below $1.07.</w:t>
      </w:r>
    </w:p>
    <w:p>
      <w:pPr>
        <w:pStyle w:val="Compact"/>
        <w:numPr>
          <w:ilvl w:val="0"/>
          <w:numId w:val="1015"/>
        </w:numPr>
      </w:pPr>
      <w:r>
        <w:t xml:space="preserve">Guidance reduced or dependent on more nonrecurring income.</w:t>
      </w:r>
    </w:p>
    <w:p>
      <w:pPr>
        <w:pStyle w:val="Compact"/>
        <w:numPr>
          <w:ilvl w:val="0"/>
          <w:numId w:val="1015"/>
        </w:numPr>
      </w:pPr>
      <w:r>
        <w:t xml:space="preserve">Same-store growth below 1% with softer occupancy.</w:t>
      </w:r>
    </w:p>
    <w:p>
      <w:pPr>
        <w:pStyle w:val="Compact"/>
        <w:numPr>
          <w:ilvl w:val="0"/>
          <w:numId w:val="1015"/>
        </w:numPr>
      </w:pPr>
      <w:r>
        <w:t xml:space="preserve">Investment yields compress while financing costs rise.</w:t>
      </w:r>
    </w:p>
    <w:p>
      <w:pPr>
        <w:pStyle w:val="Compact"/>
        <w:numPr>
          <w:ilvl w:val="0"/>
          <w:numId w:val="1015"/>
        </w:numPr>
      </w:pPr>
      <w:r>
        <w:t xml:space="preserve">Leverage moves above 5.5x.</w:t>
      </w:r>
    </w:p>
    <w:p>
      <w:pPr>
        <w:pStyle w:val="Compact"/>
        <w:numPr>
          <w:ilvl w:val="0"/>
          <w:numId w:val="1015"/>
        </w:numPr>
      </w:pPr>
      <w:r>
        <w:t xml:space="preserve">New ventures add complexity without transparent per-share benefits.</w:t>
      </w:r>
    </w:p>
    <w:bookmarkEnd w:id="26"/>
    <w:bookmarkEnd w:id="27"/>
    <w:bookmarkStart w:id="28" w:name="bottom-line"/>
    <w:p>
      <w:pPr>
        <w:pStyle w:val="Heading2"/>
      </w:pPr>
      <w:r>
        <w:t xml:space="preserve">Bottom line</w:t>
      </w:r>
    </w:p>
    <w:p>
      <w:pPr>
        <w:pStyle w:val="FirstParagraph"/>
      </w:pPr>
      <w:r>
        <w:t xml:space="preserve">The most important question is not whether Realty Income beats a roughly $1.09 quarterly AFFO benchmark. It is whether the company can demonstrate that its</w:t>
      </w:r>
      <w:r>
        <w:t xml:space="preserve"> </w:t>
      </w:r>
      <w:r>
        <w:rPr>
          <w:b/>
          <w:bCs/>
        </w:rPr>
        <w:t xml:space="preserve">private-capital, credit and data-center expansion is producing recurring per-share growth while preserving its A-grade balance-sheet profile</w:t>
      </w:r>
      <w:r>
        <w:t xml:space="preserve">.</w:t>
      </w:r>
    </w:p>
    <w:p>
      <w:pPr>
        <w:pStyle w:val="BodyText"/>
      </w:pPr>
      <w:r>
        <w:t xml:space="preserve">A clean quarter with approximately</w:t>
      </w:r>
      <w:r>
        <w:t xml:space="preserve"> </w:t>
      </w:r>
      <m:oMath>
        <m:r>
          <m:t>1.09</m:t>
        </m:r>
        <m:r>
          <m:rPr>
            <m:sty m:val="p"/>
          </m:rPr>
          <m:t>–</m:t>
        </m:r>
      </m:oMath>
      <w:r>
        <w:t xml:space="preserve">1.10 of AFFO, stable portfolio metrics, reaffirmed or slightly higher guidance and leverage near 5.2x would support the investment case. The strongest upside catalyst would be evidence that private capital is now a measurable earnings contributor rather than merely a promising strategy.</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www.benzinga.com/quote/O/earnings?utm_source=openai" TargetMode="External" /><Relationship Type="http://schemas.openxmlformats.org/officeDocument/2006/relationships/hyperlink" Id="rId23" Target="https://www.realtyincome.com/sites/realty-income/files/06%2009%2026%20135th%20Common%20Stock%20Monthly%20Dividend%20Increase%20Declared%20by%20Realty%20Income.pdf" TargetMode="External" /><Relationship Type="http://schemas.openxmlformats.org/officeDocument/2006/relationships/hyperlink" Id="rId20" Target="https://www.realtyincome.com/sites/realty-income/files/06%2029%2026%20Realty%20Income%20Prices%20%E2%82%AC600%20Million%20Euro-Denominated%20Senior%20Unsecured%20Notes%20Offering.pdf" TargetMode="External" /><Relationship Type="http://schemas.openxmlformats.org/officeDocument/2006/relationships/hyperlink" Id="rId18" Target="https://www.realtyincome.com/sites/realty-income/files/06%2030%2026%20Realty%20Income%20Forms%20Programmatic%20Joint%20Venture%20with%20Cloud%20Capital.pdf" TargetMode="External" /><Relationship Type="http://schemas.openxmlformats.org/officeDocument/2006/relationships/hyperlink" Id="rId10" Target="https://www.realtyincome.com/sites/realty-income/files/2026-05/Q1-2026-supplemental-report-final-v2.pdf?utm_source=openai" TargetMode="External" /><Relationship Type="http://schemas.openxmlformats.org/officeDocument/2006/relationships/hyperlink" Id="rId9" Target="https://www.realtyincome.com/sites/realty-income/files/realty-income/press-releases/07%2001%2026%20Realty%20Income%20Announces%20Second%20Quarter%202026%20Earnings%20Release%20Date.pdf" TargetMode="External" /><Relationship Type="http://schemas.openxmlformats.org/officeDocument/2006/relationships/hyperlink" Id="rId14" Target="https://www.sec.gov/Archives/edgar/data/726728/000072672826000028/realtyincomeq12026supple.htm" TargetMode="External" /></Relationships>
</file>

<file path=word/_rels/footnotes.xml.rels><?xml version="1.0" encoding="UTF-8"?><Relationships xmlns="http://schemas.openxmlformats.org/package/2006/relationships"><Relationship Type="http://schemas.openxmlformats.org/officeDocument/2006/relationships/hyperlink" Id="rId12" Target="https://www.benzinga.com/quote/O/earnings?utm_source=openai" TargetMode="External" /><Relationship Type="http://schemas.openxmlformats.org/officeDocument/2006/relationships/hyperlink" Id="rId23" Target="https://www.realtyincome.com/sites/realty-income/files/06%2009%2026%20135th%20Common%20Stock%20Monthly%20Dividend%20Increase%20Declared%20by%20Realty%20Income.pdf" TargetMode="External" /><Relationship Type="http://schemas.openxmlformats.org/officeDocument/2006/relationships/hyperlink" Id="rId20" Target="https://www.realtyincome.com/sites/realty-income/files/06%2029%2026%20Realty%20Income%20Prices%20%E2%82%AC600%20Million%20Euro-Denominated%20Senior%20Unsecured%20Notes%20Offering.pdf" TargetMode="External" /><Relationship Type="http://schemas.openxmlformats.org/officeDocument/2006/relationships/hyperlink" Id="rId18" Target="https://www.realtyincome.com/sites/realty-income/files/06%2030%2026%20Realty%20Income%20Forms%20Programmatic%20Joint%20Venture%20with%20Cloud%20Capital.pdf" TargetMode="External" /><Relationship Type="http://schemas.openxmlformats.org/officeDocument/2006/relationships/hyperlink" Id="rId10" Target="https://www.realtyincome.com/sites/realty-income/files/2026-05/Q1-2026-supplemental-report-final-v2.pdf?utm_source=openai" TargetMode="External" /><Relationship Type="http://schemas.openxmlformats.org/officeDocument/2006/relationships/hyperlink" Id="rId9" Target="https://www.realtyincome.com/sites/realty-income/files/realty-income/press-releases/07%2001%2026%20Realty%20Income%20Announces%20Second%20Quarter%202026%20Earnings%20Release%20Date.pdf" TargetMode="External" /><Relationship Type="http://schemas.openxmlformats.org/officeDocument/2006/relationships/hyperlink" Id="rId14" Target="https://www.sec.gov/Archives/edgar/data/726728/000072672826000028/realtyincomeq12026supple.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2026-08-05T01:11:24Z</dcterms:created>
  <dcterms:modified xsi:type="dcterms:W3CDTF">2026-08-05T01:11:24Z</dcterms:modified>
</cp:coreProperties>
</file>

<file path=docProps/custom.xml><?xml version="1.0" encoding="utf-8"?>
<Properties xmlns="http://schemas.openxmlformats.org/officeDocument/2006/custom-properties" xmlns:vt="http://schemas.openxmlformats.org/officeDocument/2006/docPropsVTypes"/>
</file>