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9563345d7d5ef9ebcf5a0202fb3723315bba7"/>
    <w:p>
      <w:pPr>
        <w:pStyle w:val="Heading1"/>
      </w:pPr>
      <w:r>
        <w:t xml:space="preserve">Realty Income (NYSE: O)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August 5,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for Realty Income’s</w:t>
      </w:r>
      <w:r>
        <w:t xml:space="preserve"> </w:t>
      </w:r>
      <w:r>
        <w:rPr>
          <w:b/>
          <w:bCs/>
        </w:rPr>
        <w:t xml:space="preserve">2Q26 earnings release and conference call expected August 5, 2026</w:t>
      </w:r>
      <w:r>
        <w:t xml:space="preserve">.</w:t>
      </w:r>
    </w:p>
    <w:bookmarkStart w:id="9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t xml:space="preserve">Realty Income enters 2Q26 with strong operational momentum, an enlarged investment pipeline, and a more diversified capital model than it had a year ago. The key investor debate is less about whether the core portfolio remains stable—it does—and more about whether the company can translate its new private-capital initiatives, credit investments, and elevated deployment into</w:t>
      </w:r>
      <w:r>
        <w:t xml:space="preserve"> </w:t>
      </w:r>
      <w:r>
        <w:rPr>
          <w:b/>
          <w:bCs/>
        </w:rPr>
        <w:t xml:space="preserve">durable per-share AFFO growth</w:t>
      </w:r>
      <w:r>
        <w:t xml:space="preserve"> </w:t>
      </w:r>
      <w:r>
        <w:t xml:space="preserve">without creating incremental complexity, leverage, or earnings-quality concerns.</w:t>
      </w:r>
    </w:p>
    <w:p>
      <w:pPr>
        <w:pStyle w:val="BodyText"/>
      </w:pPr>
      <w:r>
        <w:t xml:space="preserve">The headline to watch is therefore</w:t>
      </w:r>
      <w:r>
        <w:t xml:space="preserve"> </w:t>
      </w:r>
      <w:r>
        <w:rPr>
          <w:b/>
          <w:bCs/>
        </w:rPr>
        <w:t xml:space="preserve">the quality and repeatability of AFFO growth</w:t>
      </w:r>
      <w:r>
        <w:t xml:space="preserve">, not simply whether Realty Income meets its quarterly number.</w:t>
      </w:r>
    </w:p>
    <w:bookmarkEnd w:id="9"/>
    <w:bookmarkStart w:id="10" w:name="what-management-has-already-set-up"/>
    <w:p>
      <w:pPr>
        <w:pStyle w:val="Heading2"/>
      </w:pPr>
      <w:r>
        <w:t xml:space="preserve">What management has already set up</w:t>
      </w:r>
    </w:p>
    <w:p>
      <w:pPr>
        <w:pStyle w:val="FirstParagraph"/>
      </w:pPr>
      <w:r>
        <w:t xml:space="preserve">In 1Q26, Realty Income reported: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AFFO per share of $1.13</w:t>
      </w:r>
      <w:r>
        <w:t xml:space="preserve">, up</w:t>
      </w:r>
      <w:r>
        <w:t xml:space="preserve"> </w:t>
      </w:r>
      <w:r>
        <w:rPr>
          <w:b/>
          <w:bCs/>
        </w:rPr>
        <w:t xml:space="preserve">6.6% year over year</w:t>
      </w:r>
    </w:p>
    <w:p>
      <w:pPr>
        <w:pStyle w:val="Compact"/>
        <w:numPr>
          <w:ilvl w:val="0"/>
          <w:numId w:val="1001"/>
        </w:numPr>
      </w:pPr>
      <w:r>
        <w:t xml:space="preserve">Approximately</w:t>
      </w:r>
      <w:r>
        <w:t xml:space="preserve"> </w:t>
      </w:r>
      <m:oMath>
        <m:r>
          <m:t>2.8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rPr>
            <m:sty m:val="p"/>
          </m:rPr>
          <m:t>,</m:t>
        </m:r>
        <m:r>
          <m:t>o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2.6 billion on a pro-rata basis</w:t>
      </w:r>
      <w:r>
        <w:t xml:space="preserve">, at a</w:t>
      </w:r>
      <w:r>
        <w:t xml:space="preserve"> </w:t>
      </w:r>
      <w:r>
        <w:rPr>
          <w:b/>
          <w:bCs/>
        </w:rPr>
        <w:t xml:space="preserve">7.1% initial cash yield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98.9% occupancy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103.4% rent recapture</w:t>
      </w:r>
      <w:r>
        <w:t xml:space="preserve"> </w:t>
      </w:r>
      <w:r>
        <w:t xml:space="preserve">on re-leased properties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5.2x net debt / annualized pro forma adjusted EBITDAre</w:t>
      </w:r>
      <w:r>
        <w:t xml:space="preserve">, or 4.9x inclusive of outstanding forward equity</w:t>
      </w:r>
    </w:p>
    <w:p>
      <w:pPr>
        <w:pStyle w:val="Compact"/>
        <w:numPr>
          <w:ilvl w:val="0"/>
          <w:numId w:val="1001"/>
        </w:numPr>
      </w:pPr>
      <w:r>
        <w:t xml:space="preserve">Raised 2026 AFFO guidance to</w:t>
      </w:r>
      <w:r>
        <w:t xml:space="preserve"> </w:t>
      </w:r>
      <m:oMath>
        <m:r>
          <m:t>4.41</m:t>
        </m:r>
        <m:r>
          <m:rPr>
            <m:sty m:val="p"/>
          </m:rPr>
          <m:t>–</m:t>
        </m:r>
      </m:oMath>
      <w:r>
        <w:rPr>
          <w:b/>
          <w:bCs/>
        </w:rPr>
        <w:t xml:space="preserve">4.44 per share</w:t>
      </w:r>
    </w:p>
    <w:p>
      <w:pPr>
        <w:pStyle w:val="Compact"/>
        <w:numPr>
          <w:ilvl w:val="0"/>
          <w:numId w:val="1001"/>
        </w:numPr>
      </w:pPr>
      <w:r>
        <w:t xml:space="preserve">Raised full-year investment guidance to</w:t>
      </w:r>
      <w:r>
        <w:t xml:space="preserve"> </w:t>
      </w:r>
      <w:r>
        <w:rPr>
          <w:b/>
          <w:bCs/>
        </w:rPr>
        <w:t xml:space="preserve">$9.5 billion</w:t>
      </w:r>
      <w:r>
        <w:t xml:space="preserve">, from $8.0 billion previously</w:t>
      </w:r>
    </w:p>
    <w:p>
      <w:pPr>
        <w:pStyle w:val="FirstParagraph"/>
      </w:pPr>
      <w:r>
        <w:t xml:space="preserve">That revised AFFO range implies that, after the</w:t>
      </w:r>
      <w:r>
        <w:t xml:space="preserve"> </w:t>
      </w:r>
      <m:oMath>
        <m:r>
          <m:t>1.13</m:t>
        </m:r>
        <m:r>
          <m:t>e</m:t>
        </m:r>
        <m:r>
          <m:t>a</m:t>
        </m:r>
        <m:r>
          <m:t>r</m:t>
        </m:r>
        <m:r>
          <m:t>n</m:t>
        </m:r>
        <m:r>
          <m:t>e</m:t>
        </m:r>
        <m:r>
          <m:t>d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,</m:t>
        </m:r>
        <m:r>
          <m:t>R</m:t>
        </m:r>
        <m:r>
          <m:t>e</m:t>
        </m:r>
        <m:r>
          <m:t>a</m:t>
        </m:r>
        <m:r>
          <m:t>l</m:t>
        </m:r>
        <m:r>
          <m:t>t</m:t>
        </m:r>
        <m:r>
          <m:t>y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t</m:t>
        </m:r>
        <m:r>
          <m:t>o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1.09–$1.10 per share** over the remaining three quarters to reach the full-year midpoint. The company therefore has room for a sequentially lower 2Q AFFO result without necessarily jeopardizing its full-year outlook—but investors will want the bridge.</w:t>
      </w:r>
    </w:p>
    <w:bookmarkEnd w:id="10"/>
    <w:bookmarkStart w:id="11" w:name="Xed64833ecdc247838bc2e9709d0285acbe71a43"/>
    <w:p>
      <w:pPr>
        <w:pStyle w:val="Heading2"/>
      </w:pPr>
      <w:r>
        <w:t xml:space="preserve">The central issue: how much of 1Q growth was recurring?</w:t>
      </w:r>
    </w:p>
    <w:p>
      <w:pPr>
        <w:pStyle w:val="FirstParagraph"/>
      </w:pPr>
      <w:r>
        <w:t xml:space="preserve">The 1Q result benefited from unusually high</w:t>
      </w:r>
      <w:r>
        <w:t xml:space="preserve"> </w:t>
      </w:r>
      <w:r>
        <w:rPr>
          <w:b/>
          <w:bCs/>
        </w:rPr>
        <w:t xml:space="preserve">lease-termination income of</w:t>
      </w:r>
      <w:r>
        <w:rPr>
          <w:b/>
          <w:bCs/>
        </w:rPr>
        <w:t xml:space="preserve"> </w:t>
      </w:r>
      <m:oMath>
        <m:r>
          <m:t>40.2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d</m:t>
        </m:r>
        <m:r>
          <m:t>i</m:t>
        </m:r>
        <m:r>
          <m:t>t</m:t>
        </m:r>
        <m:r>
          <m:t>s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m</m:t>
        </m:r>
        <m:r>
          <m:t>i</m:t>
        </m:r>
        <m:r>
          <m:t>n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−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t>o</m:t>
        </m:r>
        <m:r>
          <m:t>u</m:t>
        </m:r>
        <m:r>
          <m:t>t</m:t>
        </m:r>
        <m:r>
          <m:t>l</m:t>
        </m:r>
        <m:r>
          <m:t>o</m:t>
        </m:r>
        <m:r>
          <m:t>o</m:t>
        </m:r>
        <m:r>
          <m:t>k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45 million–$50 million</w:t>
      </w:r>
      <w:r>
        <w:t xml:space="preserve">, indicating that most of the expected benefit was recognized in the first quarter.</w:t>
      </w:r>
    </w:p>
    <w:p>
      <w:pPr>
        <w:pStyle w:val="BodyText"/>
      </w:pPr>
      <w:r>
        <w:t xml:space="preserve">That creates an important 2Q setup: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Reported AFFO may step down sequentially</w:t>
      </w:r>
      <w:r>
        <w:t xml:space="preserve"> </w:t>
      </w:r>
      <w:r>
        <w:t xml:space="preserve">even if underlying property performance remains healthy.</w:t>
      </w:r>
    </w:p>
    <w:p>
      <w:pPr>
        <w:pStyle w:val="Compact"/>
        <w:numPr>
          <w:ilvl w:val="0"/>
          <w:numId w:val="1002"/>
        </w:numPr>
      </w:pPr>
      <w:r>
        <w:t xml:space="preserve">Investors should distinguish a normalization in termination income from deterioration in the underlying portfolio.</w:t>
      </w:r>
    </w:p>
    <w:p>
      <w:pPr>
        <w:pStyle w:val="Compact"/>
        <w:numPr>
          <w:ilvl w:val="0"/>
          <w:numId w:val="1002"/>
        </w:numPr>
      </w:pPr>
      <w:r>
        <w:t xml:space="preserve">Management has characterized the termination activity as</w:t>
      </w:r>
      <w:r>
        <w:t xml:space="preserve"> </w:t>
      </w:r>
      <w:r>
        <w:rPr>
          <w:b/>
          <w:bCs/>
        </w:rPr>
        <w:t xml:space="preserve">episodic portfolio optimization</w:t>
      </w:r>
      <w:r>
        <w:t xml:space="preserve">, rather than a sustainable annual earnings stream. It is meant to accelerate rent collection, recycle capital, and improve the long-term quality of the portfolio.</w:t>
      </w:r>
    </w:p>
    <w:p>
      <w:pPr>
        <w:pStyle w:val="FirstParagraph"/>
      </w:pPr>
      <w:r>
        <w:t xml:space="preserve">A clean quarter would show that lower termination income is offset by contribution from acquisitions, loans, preferred equity, private-capital fees, and normal contractual rent growth.</w:t>
      </w:r>
    </w:p>
    <w:bookmarkEnd w:id="11"/>
    <w:bookmarkStart w:id="16" w:name="what-matters-most-in-the-2q-print"/>
    <w:p>
      <w:pPr>
        <w:pStyle w:val="Heading2"/>
      </w:pPr>
      <w:r>
        <w:t xml:space="preserve">What matters most in the 2Q print</w:t>
      </w:r>
    </w:p>
    <w:bookmarkStart w:id="12" w:name="X06ab0a7ccf0c4c0145c47bb8bbcdd332f7f8fa3"/>
    <w:p>
      <w:pPr>
        <w:pStyle w:val="Heading3"/>
      </w:pPr>
      <w:r>
        <w:t xml:space="preserve">1. Investment volume and yields</w:t>
      </w:r>
    </w:p>
    <w:p>
      <w:pPr>
        <w:pStyle w:val="FirstParagraph"/>
      </w:pPr>
      <w:r>
        <w:t xml:space="preserve">The most important operational KPI will be</w:t>
      </w:r>
      <w:r>
        <w:t xml:space="preserve"> </w:t>
      </w:r>
      <w:r>
        <w:rPr>
          <w:b/>
          <w:bCs/>
        </w:rPr>
        <w:t xml:space="preserve">2Q investment volume</w:t>
      </w:r>
      <w:r>
        <w:t xml:space="preserve">, including the split among:</w:t>
      </w:r>
    </w:p>
    <w:p>
      <w:pPr>
        <w:pStyle w:val="Compact"/>
        <w:numPr>
          <w:ilvl w:val="0"/>
          <w:numId w:val="1003"/>
        </w:numPr>
      </w:pPr>
      <w:r>
        <w:t xml:space="preserve">Direct real-estate acquisitions</w:t>
      </w:r>
    </w:p>
    <w:p>
      <w:pPr>
        <w:pStyle w:val="Compact"/>
        <w:numPr>
          <w:ilvl w:val="0"/>
          <w:numId w:val="1003"/>
        </w:numPr>
      </w:pPr>
      <w:r>
        <w:t xml:space="preserve">Development and build-to-suit investments</w:t>
      </w:r>
    </w:p>
    <w:p>
      <w:pPr>
        <w:pStyle w:val="Compact"/>
        <w:numPr>
          <w:ilvl w:val="0"/>
          <w:numId w:val="1003"/>
        </w:numPr>
      </w:pPr>
      <w:r>
        <w:t xml:space="preserve">Credit, mezzanine, preferred-equity, and construction-financing investments</w:t>
      </w:r>
    </w:p>
    <w:p>
      <w:pPr>
        <w:pStyle w:val="Compact"/>
        <w:numPr>
          <w:ilvl w:val="0"/>
          <w:numId w:val="1003"/>
        </w:numPr>
      </w:pPr>
      <w:r>
        <w:t xml:space="preserve">Investments funded through third-party vehicles versus Realty Income’s balance sheet</w:t>
      </w:r>
    </w:p>
    <w:p>
      <w:pPr>
        <w:pStyle w:val="FirstParagraph"/>
      </w:pPr>
      <w:r>
        <w:t xml:space="preserve">Management raised 2026 investment guidance to $9.5 billion after deploying $2.8 billion in 1Q, supported by a reported $31 billion opportunity pipeline. The 2Q report needs to validate that confidence.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4"/>
        </w:numPr>
      </w:pPr>
      <w:r>
        <w:t xml:space="preserve">Whether deployment remains near the 1Q pace;</w:t>
      </w:r>
    </w:p>
    <w:p>
      <w:pPr>
        <w:pStyle w:val="Compact"/>
        <w:numPr>
          <w:ilvl w:val="0"/>
          <w:numId w:val="1004"/>
        </w:numPr>
      </w:pPr>
      <w:r>
        <w:t xml:space="preserve">Initial cash yields relative to the 7.1% achieved in 1Q;</w:t>
      </w:r>
    </w:p>
    <w:p>
      <w:pPr>
        <w:pStyle w:val="Compact"/>
        <w:numPr>
          <w:ilvl w:val="0"/>
          <w:numId w:val="1004"/>
        </w:numPr>
      </w:pPr>
      <w:r>
        <w:t xml:space="preserve">The geographic mix between the U.S., U.K., and continental Europe;</w:t>
      </w:r>
    </w:p>
    <w:p>
      <w:pPr>
        <w:pStyle w:val="Compact"/>
        <w:numPr>
          <w:ilvl w:val="0"/>
          <w:numId w:val="1004"/>
        </w:numPr>
      </w:pPr>
      <w:r>
        <w:t xml:space="preserve">The proportion of deployment into lower-yield but higher-growth assets intended for the Core+ fund; and</w:t>
      </w:r>
    </w:p>
    <w:p>
      <w:pPr>
        <w:pStyle w:val="Compact"/>
        <w:numPr>
          <w:ilvl w:val="0"/>
          <w:numId w:val="1004"/>
        </w:numPr>
      </w:pPr>
      <w:r>
        <w:t xml:space="preserve">Whether credit investments remain a controlled bridge to eventual real-estate ownership rather than becoming a larger standalone lending book.</w:t>
      </w:r>
    </w:p>
    <w:bookmarkEnd w:id="12"/>
    <w:bookmarkStart w:id="13" w:name="X6be64ec2b6a2ede2184825453a8a0c173cb5506"/>
    <w:p>
      <w:pPr>
        <w:pStyle w:val="Heading3"/>
      </w:pPr>
      <w:r>
        <w:t xml:space="preserve">2. Private capital: proof that the new strategy is accretive</w:t>
      </w:r>
    </w:p>
    <w:p>
      <w:pPr>
        <w:pStyle w:val="FirstParagraph"/>
      </w:pPr>
      <w:r>
        <w:t xml:space="preserve">Realty Income’s strategic evolution is central to the equity story. During 1Q, it advanced three differentiated private-capital initiatives: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Vehicle / Partner</w:t>
            </w:r>
          </w:p>
        </w:tc>
        <w:tc>
          <w:tcPr/>
          <w:p>
            <w:pPr>
              <w:pStyle w:val="Compact"/>
            </w:pPr>
            <w:r>
              <w:t xml:space="preserve">Strategic purpose</w:t>
            </w:r>
          </w:p>
        </w:tc>
        <w:tc>
          <w:tcPr/>
          <w:p>
            <w:pPr>
              <w:pStyle w:val="Compact"/>
            </w:pPr>
            <w:r>
              <w:t xml:space="preserve">Key investor question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U.S. Core+ Fund</w:t>
            </w:r>
          </w:p>
        </w:tc>
        <w:tc>
          <w:tcPr/>
          <w:p>
            <w:pPr>
              <w:pStyle w:val="Compact"/>
            </w:pPr>
            <w:r>
              <w:t xml:space="preserve">Lower-yielding, higher-growth real estate; fee income</w:t>
            </w:r>
          </w:p>
        </w:tc>
        <w:tc>
          <w:tcPr/>
          <w:p>
            <w:pPr>
              <w:pStyle w:val="Compact"/>
            </w:pPr>
            <w:r>
              <w:t xml:space="preserve">Has capital been fully deployed, and what is the run-rate fee contribution?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Apollo JV</w:t>
            </w:r>
          </w:p>
        </w:tc>
        <w:tc>
          <w:tcPr/>
          <w:p>
            <w:pPr>
              <w:pStyle w:val="Compact"/>
            </w:pPr>
            <w:r>
              <w:t xml:space="preserve">Insurance/annuity capital for stable net-lease assets</w:t>
            </w:r>
          </w:p>
        </w:tc>
        <w:tc>
          <w:tcPr/>
          <w:p>
            <w:pPr>
              <w:pStyle w:val="Compact"/>
            </w:pPr>
            <w:r>
              <w:t xml:space="preserve">Is the structure scalable and demonstrably accretive to public shareholders?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GIC JV</w:t>
            </w:r>
          </w:p>
        </w:tc>
        <w:tc>
          <w:tcPr/>
          <w:p>
            <w:pPr>
              <w:pStyle w:val="Compact"/>
            </w:pPr>
            <w:r>
              <w:t xml:space="preserve">Build-to-suit development, primarily industrial</w:t>
            </w:r>
          </w:p>
        </w:tc>
        <w:tc>
          <w:tcPr/>
          <w:p>
            <w:pPr>
              <w:pStyle w:val="Compact"/>
            </w:pPr>
            <w:r>
              <w:t xml:space="preserve">Is the development pipeline converting into attractive future ownership opportunities?</w:t>
            </w:r>
          </w:p>
        </w:tc>
      </w:tr>
    </w:tbl>
    <w:p>
      <w:pPr>
        <w:pStyle w:val="BodyText"/>
      </w:pPr>
      <w:r>
        <w:t xml:space="preserve">Management said the</w:t>
      </w:r>
      <w:r>
        <w:t xml:space="preserve"> </w:t>
      </w:r>
      <m:oMath>
        <m:r>
          <m:t>1.7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c</m:t>
        </m:r>
        <m:r>
          <m:t>o</m:t>
        </m:r>
        <m:r>
          <m:t>r</m:t>
        </m:r>
        <m:r>
          <m:t>n</m:t>
        </m:r>
        <m:r>
          <m:t>e</m:t>
        </m:r>
        <m:r>
          <m:t>r</m:t>
        </m:r>
        <m:r>
          <m:t>s</m:t>
        </m:r>
        <m:r>
          <m:t>t</m:t>
        </m:r>
        <m:r>
          <m:t>o</m:t>
        </m:r>
        <m:r>
          <m:t>n</m:t>
        </m:r>
        <m:r>
          <m:t>e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f</m:t>
        </m:r>
        <m:r>
          <m:t>o</m:t>
        </m:r>
        <m:r>
          <m:t>r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r</m:t>
        </m:r>
        <m:r>
          <m:t>e</m:t>
        </m:r>
        <m:r>
          <m:rPr>
            <m:sty m:val="p"/>
          </m:rPr>
          <m:t>+</m:t>
        </m:r>
        <m:r>
          <m:t>f</m:t>
        </m:r>
        <m:r>
          <m:t>u</m:t>
        </m:r>
        <m:r>
          <m:t>n</m:t>
        </m:r>
        <m:r>
          <m:t>d</m:t>
        </m:r>
        <m:r>
          <m:t>w</m:t>
        </m:r>
        <m:r>
          <m:t>a</m:t>
        </m:r>
        <m:r>
          <m:t>s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b</m:t>
        </m:r>
        <m:r>
          <m:t>e</m:t>
        </m:r>
        <m:r>
          <m:t>s</m:t>
        </m:r>
        <m:r>
          <m:t>u</m:t>
        </m:r>
        <m:r>
          <m:t>b</m:t>
        </m:r>
        <m:r>
          <m:t>s</m:t>
        </m:r>
        <m:r>
          <m:t>t</m:t>
        </m:r>
        <m:r>
          <m:t>a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d</m:t>
        </m:r>
        <m:r>
          <m:t>e</m:t>
        </m:r>
        <m:r>
          <m:t>p</m:t>
        </m:r>
        <m:r>
          <m:t>l</m:t>
        </m:r>
        <m:r>
          <m:t>o</m:t>
        </m:r>
        <m:r>
          <m:t>y</m:t>
        </m:r>
        <m:r>
          <m:t>e</m:t>
        </m:r>
        <m:r>
          <m:t>d</m:t>
        </m:r>
        <m:r>
          <m:t>b</m:t>
        </m:r>
        <m:r>
          <m:t>y</m:t>
        </m:r>
        <m:r>
          <m:t>t</m:t>
        </m:r>
        <m:r>
          <m:t>h</m:t>
        </m:r>
        <m:r>
          <m:t>e</m:t>
        </m:r>
        <m:r>
          <m:t>n</m:t>
        </m:r>
        <m:r>
          <m:t>e</m:t>
        </m:r>
        <m:r>
          <m:t>x</m:t>
        </m:r>
        <m:r>
          <m:t>t</m:t>
        </m:r>
        <m:r>
          <m:t>e</m:t>
        </m:r>
        <m:r>
          <m:t>a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t>c</m:t>
        </m:r>
        <m:r>
          <m:t>a</m:t>
        </m:r>
        <m:r>
          <m:t>l</m:t>
        </m:r>
        <m:r>
          <m:t>l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p</m:t>
        </m:r>
        <m:r>
          <m:t>o</m:t>
        </m:r>
        <m:r>
          <m:t>t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t</m:t>
        </m:r>
        <m:r>
          <m:t>o</m:t>
        </m:r>
        <m:r>
          <m:t>s</m:t>
        </m:r>
        <m:r>
          <m:t>u</m:t>
        </m:r>
        <m:r>
          <m:t>p</m:t>
        </m:r>
        <m:r>
          <m:t>p</m:t>
        </m:r>
        <m:r>
          <m:t>o</m:t>
        </m:r>
        <m:r>
          <m:t>r</m:t>
        </m:r>
        <m:r>
          <m:t>t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3.5 billion–</w:t>
      </w:r>
      <m:oMath>
        <m:r>
          <m:t>4.0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a</m:t>
        </m:r>
        <m:r>
          <m:t>s</m:t>
        </m:r>
        <m:r>
          <m:t>s</m:t>
        </m:r>
        <m:r>
          <m:t>e</m:t>
        </m:r>
        <m:r>
          <m:t>t</m:t>
        </m:r>
        <m:r>
          <m:t>s</m:t>
        </m:r>
        <m:r>
          <m:t>u</m:t>
        </m:r>
        <m:r>
          <m:t>n</m:t>
        </m:r>
        <m:r>
          <m:t>d</m:t>
        </m:r>
        <m:r>
          <m:t>e</m:t>
        </m:r>
        <m:r>
          <m:t>r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t>l</m:t>
        </m:r>
        <m:r>
          <m:t>e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rPr>
            <m:sty m:val="p"/>
          </m:rPr>
          <m:t>.</m:t>
        </m:r>
        <m:r>
          <m:t>I</m:t>
        </m:r>
        <m:r>
          <m:t>t</m:t>
        </m:r>
        <m:r>
          <m:t>a</m:t>
        </m:r>
        <m:r>
          <m:t>l</m:t>
        </m:r>
        <m:r>
          <m:t>s</m:t>
        </m:r>
        <m:r>
          <m:t>o</m:t>
        </m:r>
        <m:r>
          <m:t>i</m:t>
        </m:r>
        <m:r>
          <m:t>n</m:t>
        </m:r>
        <m:r>
          <m:t>d</m:t>
        </m:r>
        <m:r>
          <m:t>i</m:t>
        </m:r>
        <m:r>
          <m:t>c</m:t>
        </m:r>
        <m:r>
          <m:t>a</m:t>
        </m:r>
        <m:r>
          <m:t>t</m:t>
        </m:r>
        <m:r>
          <m:t>e</m:t>
        </m:r>
        <m:r>
          <m:t>d</m:t>
        </m:r>
        <m:r>
          <m:t>t</m:t>
        </m:r>
        <m:r>
          <m:t>h</m:t>
        </m:r>
        <m:r>
          <m:t>a</m:t>
        </m:r>
        <m:r>
          <m:t>t</m:t>
        </m:r>
        <m:r>
          <m:t>b</m:t>
        </m:r>
        <m:r>
          <m:t>a</m:t>
        </m:r>
        <m:r>
          <m:t>s</m:t>
        </m:r>
        <m:r>
          <m:t>e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f</m:t>
        </m:r>
        <m:r>
          <m:t>e</m:t>
        </m:r>
        <m:r>
          <m:t>e</m:t>
        </m:r>
        <m:r>
          <m:t>s</m:t>
        </m:r>
        <m:r>
          <m:t>c</m:t>
        </m:r>
        <m:r>
          <m:t>o</m:t>
        </m:r>
        <m:r>
          <m:t>u</m:t>
        </m:r>
        <m:r>
          <m:t>l</m:t>
        </m:r>
        <m:r>
          <m:t>d</m:t>
        </m:r>
        <m:r>
          <m:t>e</m:t>
        </m:r>
        <m:r>
          <m:t>x</m:t>
        </m:r>
        <m:r>
          <m:t>c</m:t>
        </m:r>
        <m:r>
          <m:t>e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10 million annually** once fully drawn.</w:t>
      </w:r>
    </w:p>
    <w:p>
      <w:pPr>
        <w:pStyle w:val="BodyText"/>
      </w:pPr>
      <w:r>
        <w:t xml:space="preserve">For 2Q, investors should look for updates on:</w:t>
      </w:r>
    </w:p>
    <w:p>
      <w:pPr>
        <w:pStyle w:val="Compact"/>
        <w:numPr>
          <w:ilvl w:val="0"/>
          <w:numId w:val="1005"/>
        </w:numPr>
      </w:pPr>
      <w:r>
        <w:t xml:space="preserve">Fund deployment and AUM;</w:t>
      </w:r>
    </w:p>
    <w:p>
      <w:pPr>
        <w:pStyle w:val="Compact"/>
        <w:numPr>
          <w:ilvl w:val="0"/>
          <w:numId w:val="1005"/>
        </w:numPr>
      </w:pPr>
      <w:r>
        <w:t xml:space="preserve">Management-fee run rate;</w:t>
      </w:r>
    </w:p>
    <w:p>
      <w:pPr>
        <w:pStyle w:val="Compact"/>
        <w:numPr>
          <w:ilvl w:val="0"/>
          <w:numId w:val="1005"/>
        </w:numPr>
      </w:pPr>
      <w:r>
        <w:t xml:space="preserve">New capital commitments or follow-on investments from Apollo or GIC;</w:t>
      </w:r>
    </w:p>
    <w:p>
      <w:pPr>
        <w:pStyle w:val="Compact"/>
        <w:numPr>
          <w:ilvl w:val="0"/>
          <w:numId w:val="1005"/>
        </w:numPr>
      </w:pPr>
      <w:r>
        <w:t xml:space="preserve">Whether private-capital vehicles expand the addressable investment universe without cannibalizing balance-sheet opportunities; and</w:t>
      </w:r>
    </w:p>
    <w:p>
      <w:pPr>
        <w:pStyle w:val="Compact"/>
        <w:numPr>
          <w:ilvl w:val="0"/>
          <w:numId w:val="1005"/>
        </w:numPr>
      </w:pPr>
      <w:r>
        <w:t xml:space="preserve">The economics retained by Realty Income—especially fee income, promote potential, asset-management control, and per-share accretion.</w:t>
      </w:r>
    </w:p>
    <w:p>
      <w:pPr>
        <w:pStyle w:val="FirstParagraph"/>
      </w:pPr>
      <w:r>
        <w:t xml:space="preserve">The strategic upside is meaningful: private capital can reduce reliance on public-equity issuance when the stock trades at an unattractive implied cost of equity. The risk is that investors assign a lower multiple if the model becomes more opaque, more capital-intensive, or materially more reliant on nontraditional investments.</w:t>
      </w:r>
    </w:p>
    <w:bookmarkEnd w:id="13"/>
    <w:bookmarkStart w:id="14" w:name="X0001ff45f0349593adf3b6248f23ccccbaf4d3c"/>
    <w:p>
      <w:pPr>
        <w:pStyle w:val="Heading3"/>
      </w:pPr>
      <w:r>
        <w:t xml:space="preserve">3. Core portfolio health: occupancy, recapture, and same-store growth</w:t>
      </w:r>
    </w:p>
    <w:p>
      <w:pPr>
        <w:pStyle w:val="FirstParagraph"/>
      </w:pPr>
      <w:r>
        <w:t xml:space="preserve">The portfolio remains the foundation of the dividend. At March 31, Realty Income held interests in</w:t>
      </w:r>
      <w:r>
        <w:t xml:space="preserve"> </w:t>
      </w:r>
      <w:r>
        <w:rPr>
          <w:b/>
          <w:bCs/>
        </w:rPr>
        <w:t xml:space="preserve">15,571 properties</w:t>
      </w:r>
      <w:r>
        <w:t xml:space="preserve">, produced</w:t>
      </w:r>
      <w:r>
        <w:t xml:space="preserve"> </w:t>
      </w:r>
      <w:r>
        <w:rPr>
          <w:b/>
          <w:bCs/>
        </w:rPr>
        <w:t xml:space="preserve">$5.23 billion of annualized base rent</w:t>
      </w:r>
      <w:r>
        <w:t xml:space="preserve">, and had a weighted-average remaining lease term of</w:t>
      </w:r>
      <w:r>
        <w:t xml:space="preserve"> </w:t>
      </w:r>
      <w:r>
        <w:rPr>
          <w:b/>
          <w:bCs/>
        </w:rPr>
        <w:t xml:space="preserve">8.7 years</w:t>
      </w:r>
      <w:r>
        <w:t xml:space="preserve">.</w:t>
      </w:r>
    </w:p>
    <w:p>
      <w:pPr>
        <w:pStyle w:val="BodyText"/>
      </w:pPr>
      <w:r>
        <w:t xml:space="preserve">The 2Q report should confirm stability in: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Occupancy:</w:t>
      </w:r>
      <w:r>
        <w:t xml:space="preserve"> </w:t>
      </w:r>
      <w:r>
        <w:t xml:space="preserve">98.9% in 1Q;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Rent recapture:</w:t>
      </w:r>
      <w:r>
        <w:t xml:space="preserve"> </w:t>
      </w:r>
      <w:r>
        <w:t xml:space="preserve">103.4% in 1Q;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Same-store rental-revenue growth:</w:t>
      </w:r>
      <w:r>
        <w:t xml:space="preserve"> </w:t>
      </w:r>
      <w:r>
        <w:t xml:space="preserve">only modest growth should be expected from a largely fixed-rent net-lease portfolio;</w:t>
      </w:r>
    </w:p>
    <w:p>
      <w:pPr>
        <w:pStyle w:val="Compact"/>
        <w:numPr>
          <w:ilvl w:val="0"/>
          <w:numId w:val="1006"/>
        </w:numPr>
      </w:pPr>
      <w:r>
        <w:t xml:space="preserve">Vacancies, dispositions, and re-leasing economics; and</w:t>
      </w:r>
    </w:p>
    <w:p>
      <w:pPr>
        <w:pStyle w:val="Compact"/>
        <w:numPr>
          <w:ilvl w:val="0"/>
          <w:numId w:val="1006"/>
        </w:numPr>
      </w:pPr>
      <w:r>
        <w:t xml:space="preserve">Credit-loss reserves or cash-basis tenant issues.</w:t>
      </w:r>
    </w:p>
    <w:p>
      <w:pPr>
        <w:pStyle w:val="FirstParagraph"/>
      </w:pPr>
      <w:r>
        <w:t xml:space="preserve">The main tenant and industry exposures worth monitoring include Dollar General, 7-Eleven, Walgreens, Family Dollar, Life Time, Kingfisher/B&amp;Q, Wynn, EG Group, FedEx, and U.K. grocers. Theaters remain a smaller but notable area of scrutiny: management acknowledged pressure in same-store theater revenue in 1Q, driven by prior restructurings and changes to percentage-rent structures.</w:t>
      </w:r>
    </w:p>
    <w:bookmarkEnd w:id="14"/>
    <w:bookmarkStart w:id="15" w:name="X3b384e8f121993aeb80f908def52d714704a2fe"/>
    <w:p>
      <w:pPr>
        <w:pStyle w:val="Heading3"/>
      </w:pPr>
      <w:r>
        <w:t xml:space="preserve">4. Balance sheet and capital cost</w:t>
      </w:r>
    </w:p>
    <w:p>
      <w:pPr>
        <w:pStyle w:val="FirstParagraph"/>
      </w:pPr>
      <w:r>
        <w:t xml:space="preserve">Realty Income’s ability to deploy aggressively depends on preserving its investment-grade balance sheet and maintaining a favorable spread between investment yields and financing costs.</w:t>
      </w:r>
    </w:p>
    <w:p>
      <w:pPr>
        <w:pStyle w:val="BodyText"/>
      </w:pPr>
      <w:r>
        <w:t xml:space="preserve">At the end of 1Q, the company had: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$3.9 billion</w:t>
      </w:r>
      <w:r>
        <w:t xml:space="preserve"> </w:t>
      </w:r>
      <w:r>
        <w:t xml:space="preserve">of pro-rata liquidity;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5.2x</w:t>
      </w:r>
      <w:r>
        <w:t xml:space="preserve"> </w:t>
      </w:r>
      <w:r>
        <w:t xml:space="preserve">net debt / annualized pro forma adjusted EBITDAre;</w:t>
      </w:r>
    </w:p>
    <w:p>
      <w:pPr>
        <w:pStyle w:val="Compact"/>
        <w:numPr>
          <w:ilvl w:val="0"/>
          <w:numId w:val="1007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92% fixed-rate debt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3.8% weighted-average interest rate</w:t>
      </w:r>
      <w:r>
        <w:t xml:space="preserve"> </w:t>
      </w:r>
      <w:r>
        <w:t xml:space="preserve">on total debt; and</w:t>
      </w:r>
    </w:p>
    <w:p>
      <w:pPr>
        <w:pStyle w:val="Compact"/>
        <w:numPr>
          <w:ilvl w:val="0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5.4-year weighted-average debt maturity</w:t>
      </w:r>
      <w:r>
        <w:t xml:space="preserve">.</w:t>
      </w:r>
    </w:p>
    <w:p>
      <w:pPr>
        <w:pStyle w:val="FirstParagraph"/>
      </w:pPr>
      <w:r>
        <w:t xml:space="preserve">Subsequent to quarter-end, the company issued $800 million of senior unsecured notes due 2033 and used cross-currency swaps to lower the blended financing cost. It also disclosed on July 13 that it had</w:t>
      </w:r>
      <w:r>
        <w:t xml:space="preserve"> </w:t>
      </w:r>
      <w:r>
        <w:rPr>
          <w:b/>
          <w:bCs/>
        </w:rPr>
        <w:t xml:space="preserve">upsized its credit facility to $5.5 billion</w:t>
      </w:r>
      <w:r>
        <w:t xml:space="preserve"> </w:t>
      </w:r>
      <w:r>
        <w:t xml:space="preserve">and enhanced its commercial-paper programs.</w:t>
      </w:r>
    </w:p>
    <w:p>
      <w:pPr>
        <w:pStyle w:val="BodyText"/>
      </w:pPr>
      <w:r>
        <w:t xml:space="preserve">For 2Q, the critical balance-sheet questions are:</w:t>
      </w:r>
    </w:p>
    <w:p>
      <w:pPr>
        <w:pStyle w:val="Compact"/>
        <w:numPr>
          <w:ilvl w:val="0"/>
          <w:numId w:val="1008"/>
        </w:numPr>
      </w:pPr>
      <w:r>
        <w:t xml:space="preserve">Did leverage remain within the company’s target range amid elevated deployment?</w:t>
      </w:r>
    </w:p>
    <w:p>
      <w:pPr>
        <w:pStyle w:val="Compact"/>
        <w:numPr>
          <w:ilvl w:val="0"/>
          <w:numId w:val="1008"/>
        </w:numPr>
      </w:pPr>
      <w:r>
        <w:t xml:space="preserve">How much forward equity remains unsettled, and when will it settle?</w:t>
      </w:r>
    </w:p>
    <w:p>
      <w:pPr>
        <w:pStyle w:val="Compact"/>
        <w:numPr>
          <w:ilvl w:val="0"/>
          <w:numId w:val="1008"/>
        </w:numPr>
      </w:pPr>
      <w:r>
        <w:t xml:space="preserve">Is the lower-cost euro funding strategy continuing to protect acquisition spreads?</w:t>
      </w:r>
    </w:p>
    <w:p>
      <w:pPr>
        <w:pStyle w:val="Compact"/>
        <w:numPr>
          <w:ilvl w:val="0"/>
          <w:numId w:val="1008"/>
        </w:numPr>
      </w:pPr>
      <w:r>
        <w:t xml:space="preserve">What does the refinancing schedule look like following 2026 maturities?</w:t>
      </w:r>
    </w:p>
    <w:p>
      <w:pPr>
        <w:pStyle w:val="Compact"/>
        <w:numPr>
          <w:ilvl w:val="0"/>
          <w:numId w:val="1008"/>
        </w:numPr>
      </w:pPr>
      <w:r>
        <w:t xml:space="preserve">Is management using private capital and dispositions to avoid excessive common-equity dilution?</w:t>
      </w:r>
    </w:p>
    <w:bookmarkEnd w:id="15"/>
    <w:bookmarkEnd w:id="16"/>
    <w:bookmarkStart w:id="17" w:name="Xf7ab35bcba9a76bcc8f03aec56120925dde4a16"/>
    <w:p>
      <w:pPr>
        <w:pStyle w:val="Heading2"/>
      </w:pPr>
      <w:r>
        <w:t xml:space="preserve">Dividend: still well covered, but AFFO growth matters</w:t>
      </w:r>
    </w:p>
    <w:p>
      <w:pPr>
        <w:pStyle w:val="FirstParagraph"/>
      </w:pPr>
      <w:r>
        <w:t xml:space="preserve">Realty Income paid a monthly dividend of</w:t>
      </w:r>
      <w:r>
        <w:t xml:space="preserve"> </w:t>
      </w:r>
      <m:oMath>
        <m:r>
          <m:t>0.2705</m:t>
        </m:r>
        <m:r>
          <m:t>p</m:t>
        </m:r>
        <m:r>
          <m:t>e</m:t>
        </m:r>
        <m:r>
          <m:t>r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s</m:t>
        </m:r>
        <m:r>
          <m:t>o</m:t>
        </m:r>
        <m:r>
          <m:t>f</m:t>
        </m:r>
        <m:r>
          <m:t>t</m:t>
        </m:r>
        <m:r>
          <m:t>h</m:t>
        </m:r>
        <m:r>
          <m:t>e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,</m:t>
        </m:r>
        <m:r>
          <m:t>o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3.246 annualized</w:t>
      </w:r>
      <w:r>
        <w:t xml:space="preserve">. The 1Q dividend represented</w:t>
      </w:r>
      <w:r>
        <w:t xml:space="preserve"> </w:t>
      </w:r>
      <w:r>
        <w:rPr>
          <w:b/>
          <w:bCs/>
        </w:rPr>
        <w:t xml:space="preserve">71.7% of AFFO per share</w:t>
      </w:r>
      <w:r>
        <w:t xml:space="preserve">, a conservative payout ratio for a net-lease REIT.</w:t>
      </w:r>
    </w:p>
    <w:p>
      <w:pPr>
        <w:pStyle w:val="BodyText"/>
      </w:pPr>
      <w:r>
        <w:t xml:space="preserve">The dividend case remains solid if management can sustain AFFO growth near the current guidance trajectory. The key risk is not near-term dividend coverage; it is whether incremental capital deployment continues to be accretive after funding costs, share issuance, private-partner economics, and asset-management expenses.</w:t>
      </w:r>
    </w:p>
    <w:bookmarkEnd w:id="17"/>
    <w:bookmarkStart w:id="18" w:name="bull-case-into-earnings"/>
    <w:p>
      <w:pPr>
        <w:pStyle w:val="Heading2"/>
      </w:pPr>
      <w:r>
        <w:t xml:space="preserve">Bull case into earnings</w:t>
      </w:r>
    </w:p>
    <w:p>
      <w:pPr>
        <w:pStyle w:val="FirstParagraph"/>
      </w:pPr>
      <w:r>
        <w:t xml:space="preserve">A constructive 2Q report would feature:</w:t>
      </w:r>
    </w:p>
    <w:p>
      <w:pPr>
        <w:pStyle w:val="Compact"/>
        <w:numPr>
          <w:ilvl w:val="0"/>
          <w:numId w:val="1009"/>
        </w:numPr>
      </w:pPr>
      <w:r>
        <w:t xml:space="preserve">Investment volume that supports the $9.5 billion annual target;</w:t>
      </w:r>
    </w:p>
    <w:p>
      <w:pPr>
        <w:pStyle w:val="Compact"/>
        <w:numPr>
          <w:ilvl w:val="0"/>
          <w:numId w:val="1009"/>
        </w:numPr>
      </w:pPr>
      <w:r>
        <w:t xml:space="preserve">Acquisition yields that remain attractive relative to marginal funding costs;</w:t>
      </w:r>
    </w:p>
    <w:p>
      <w:pPr>
        <w:pStyle w:val="Compact"/>
        <w:numPr>
          <w:ilvl w:val="0"/>
          <w:numId w:val="1009"/>
        </w:numPr>
      </w:pPr>
      <w:r>
        <w:t xml:space="preserve">A clear explanation that lower sequential AFFO, if any, reflects reduced termination income rather than weak fundamentals;</w:t>
      </w:r>
    </w:p>
    <w:p>
      <w:pPr>
        <w:pStyle w:val="Compact"/>
        <w:numPr>
          <w:ilvl w:val="0"/>
          <w:numId w:val="1009"/>
        </w:numPr>
      </w:pPr>
      <w:r>
        <w:t xml:space="preserve">Full or near-full deployment of the Core+ fund and visible management-fee growth;</w:t>
      </w:r>
    </w:p>
    <w:p>
      <w:pPr>
        <w:pStyle w:val="Compact"/>
        <w:numPr>
          <w:ilvl w:val="0"/>
          <w:numId w:val="1009"/>
        </w:numPr>
      </w:pPr>
      <w:r>
        <w:t xml:space="preserve">Strong occupancy and positive rent recapture;</w:t>
      </w:r>
    </w:p>
    <w:p>
      <w:pPr>
        <w:pStyle w:val="Compact"/>
        <w:numPr>
          <w:ilvl w:val="0"/>
          <w:numId w:val="1009"/>
        </w:numPr>
      </w:pPr>
      <w:r>
        <w:t xml:space="preserve">Stable leverage and improved liquidity; and</w:t>
      </w:r>
    </w:p>
    <w:p>
      <w:pPr>
        <w:pStyle w:val="Compact"/>
        <w:numPr>
          <w:ilvl w:val="0"/>
          <w:numId w:val="1009"/>
        </w:numPr>
      </w:pPr>
      <w:r>
        <w:t xml:space="preserve">Reaffirmed—or potentially raised—2026 AFFO guidance.</w:t>
      </w:r>
    </w:p>
    <w:bookmarkEnd w:id="18"/>
    <w:bookmarkStart w:id="19" w:name="bear-case-into-earnings"/>
    <w:p>
      <w:pPr>
        <w:pStyle w:val="Heading2"/>
      </w:pPr>
      <w:r>
        <w:t xml:space="preserve">Bear case into earnings</w:t>
      </w:r>
    </w:p>
    <w:p>
      <w:pPr>
        <w:pStyle w:val="FirstParagraph"/>
      </w:pPr>
      <w:r>
        <w:t xml:space="preserve">The primary downside risks are: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AFFO normalization is sharper than expected</w:t>
      </w:r>
      <w:r>
        <w:t xml:space="preserve"> </w:t>
      </w:r>
      <w:r>
        <w:t xml:space="preserve">after the 1Q lease-termination benefit;</w:t>
      </w:r>
    </w:p>
    <w:p>
      <w:pPr>
        <w:pStyle w:val="Compact"/>
        <w:numPr>
          <w:ilvl w:val="0"/>
          <w:numId w:val="1010"/>
        </w:numPr>
      </w:pPr>
      <w:r>
        <w:t xml:space="preserve">Investment volume is strong but comes at</w:t>
      </w:r>
      <w:r>
        <w:t xml:space="preserve"> </w:t>
      </w:r>
      <w:r>
        <w:rPr>
          <w:b/>
          <w:bCs/>
        </w:rPr>
        <w:t xml:space="preserve">lower yields</w:t>
      </w:r>
      <w:r>
        <w:t xml:space="preserve"> </w:t>
      </w:r>
      <w:r>
        <w:t xml:space="preserve">or requires more equity issuance;</w:t>
      </w:r>
    </w:p>
    <w:p>
      <w:pPr>
        <w:pStyle w:val="Compact"/>
        <w:numPr>
          <w:ilvl w:val="0"/>
          <w:numId w:val="1010"/>
        </w:numPr>
      </w:pPr>
      <w:r>
        <w:t xml:space="preserve">The growing loan and preferred-equity portfolio leads investors to question underwriting risk or earnings quality;</w:t>
      </w:r>
    </w:p>
    <w:p>
      <w:pPr>
        <w:pStyle w:val="Compact"/>
        <w:numPr>
          <w:ilvl w:val="0"/>
          <w:numId w:val="1010"/>
        </w:numPr>
      </w:pPr>
      <w:r>
        <w:t xml:space="preserve">Private-capital initiatives prove slower to deploy or less accretive than initially expected;</w:t>
      </w:r>
    </w:p>
    <w:p>
      <w:pPr>
        <w:pStyle w:val="Compact"/>
        <w:numPr>
          <w:ilvl w:val="0"/>
          <w:numId w:val="1010"/>
        </w:numPr>
      </w:pPr>
      <w:r>
        <w:t xml:space="preserve">Credit issues emerge among retail, theater, dollar-store, pharmacy, or other consumer-facing tenants;</w:t>
      </w:r>
    </w:p>
    <w:p>
      <w:pPr>
        <w:pStyle w:val="Compact"/>
        <w:numPr>
          <w:ilvl w:val="0"/>
          <w:numId w:val="1010"/>
        </w:numPr>
      </w:pPr>
      <w:r>
        <w:t xml:space="preserve">Impairments and disposition losses remain elevated; or</w:t>
      </w:r>
    </w:p>
    <w:p>
      <w:pPr>
        <w:pStyle w:val="Compact"/>
        <w:numPr>
          <w:ilvl w:val="0"/>
          <w:numId w:val="1010"/>
        </w:numPr>
      </w:pPr>
      <w:r>
        <w:t xml:space="preserve">Leverage moves higher while debt costs rise or acquisition spreads narrow.</w:t>
      </w:r>
    </w:p>
    <w:bookmarkEnd w:id="19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Realty Income’s 2Q26 report is primarily a test of execution against a much larger platform.</w:t>
      </w:r>
      <w:r>
        <w:t xml:space="preserve"> </w:t>
      </w:r>
      <w:r>
        <w:t xml:space="preserve">The company has already established the ingredients for a strong 2026: a raised deployment target, raised AFFO guidance, high occupancy, sizable liquidity, and new private-capital channels.</w:t>
      </w:r>
    </w:p>
    <w:p>
      <w:pPr>
        <w:pStyle w:val="BodyText"/>
      </w:pPr>
      <w:r>
        <w:t xml:space="preserve">But the market should demand evidence that the strategy produces</w:t>
      </w:r>
      <w:r>
        <w:t xml:space="preserve"> </w:t>
      </w:r>
      <w:r>
        <w:rPr>
          <w:b/>
          <w:bCs/>
        </w:rPr>
        <w:t xml:space="preserve">recurring, per-share accretion</w:t>
      </w:r>
      <w:r>
        <w:t xml:space="preserve">. The most important read-through will be whether acquisition contribution, fee income, and stable property operations can replace the unusually large 1Q termination-income benefit while keeping leverage disciplined.</w:t>
      </w:r>
    </w:p>
    <w:bookmarkStart w:id="20" w:name="earnings-checklist"/>
    <w:p>
      <w:pPr>
        <w:pStyle w:val="Heading3"/>
      </w:pPr>
      <w:r>
        <w:t xml:space="preserve">Earnings checklist</w:t>
      </w:r>
    </w:p>
    <w:p>
      <w:pPr>
        <w:pStyle w:val="Compact"/>
        <w:numPr>
          <w:ilvl w:val="0"/>
          <w:numId w:val="1011"/>
        </w:numPr>
      </w:pPr>
      <w:r>
        <w:t xml:space="preserve">AFFO/share relative to the implied</w:t>
      </w:r>
      <w:r>
        <w:t xml:space="preserve"> </w:t>
      </w:r>
      <m:oMath>
        <m:r>
          <m:t>1.09</m:t>
        </m:r>
        <m:r>
          <m:rPr>
            <m:sty m:val="p"/>
          </m:rPr>
          <m:t>–</m:t>
        </m:r>
      </m:oMath>
      <w:r>
        <w:t xml:space="preserve">1.10 quarterly pace needed for full-year guidance</w:t>
      </w:r>
    </w:p>
    <w:p>
      <w:pPr>
        <w:pStyle w:val="Compact"/>
        <w:numPr>
          <w:ilvl w:val="0"/>
          <w:numId w:val="1011"/>
        </w:numPr>
      </w:pPr>
      <w:r>
        <w:t xml:space="preserve">Reaffirmation or revision of</w:t>
      </w:r>
      <w:r>
        <w:t xml:space="preserve"> </w:t>
      </w:r>
      <m:oMath>
        <m:r>
          <m:t>4.41</m:t>
        </m:r>
        <m:r>
          <m:rPr>
            <m:sty m:val="p"/>
          </m:rPr>
          <m:t>–</m:t>
        </m:r>
      </m:oMath>
      <w:r>
        <w:rPr>
          <w:b/>
          <w:bCs/>
        </w:rPr>
        <w:t xml:space="preserve">4.44</w:t>
      </w:r>
      <w:r>
        <w:t xml:space="preserve"> </w:t>
      </w:r>
      <w:r>
        <w:t xml:space="preserve">2026 AFFO guidance</w:t>
      </w:r>
    </w:p>
    <w:p>
      <w:pPr>
        <w:pStyle w:val="Compact"/>
        <w:numPr>
          <w:ilvl w:val="0"/>
          <w:numId w:val="1011"/>
        </w:numPr>
      </w:pPr>
      <w:r>
        <w:t xml:space="preserve">2Q and year-to-date investment volume versus the</w:t>
      </w:r>
      <w:r>
        <w:t xml:space="preserve"> </w:t>
      </w:r>
      <w:r>
        <w:rPr>
          <w:b/>
          <w:bCs/>
        </w:rPr>
        <w:t xml:space="preserve">$9.5 billion</w:t>
      </w:r>
      <w:r>
        <w:t xml:space="preserve"> </w:t>
      </w:r>
      <w:r>
        <w:t xml:space="preserve">target</w:t>
      </w:r>
    </w:p>
    <w:p>
      <w:pPr>
        <w:pStyle w:val="Compact"/>
        <w:numPr>
          <w:ilvl w:val="0"/>
          <w:numId w:val="1011"/>
        </w:numPr>
      </w:pPr>
      <w:r>
        <w:t xml:space="preserve">Initial cash yields and U.S./Europe/private-capital mix</w:t>
      </w:r>
    </w:p>
    <w:p>
      <w:pPr>
        <w:pStyle w:val="Compact"/>
        <w:numPr>
          <w:ilvl w:val="0"/>
          <w:numId w:val="1011"/>
        </w:numPr>
      </w:pPr>
      <w:r>
        <w:t xml:space="preserve">Core+ fund deployment, AUM, and fee-income outlook</w:t>
      </w:r>
    </w:p>
    <w:p>
      <w:pPr>
        <w:pStyle w:val="Compact"/>
        <w:numPr>
          <w:ilvl w:val="0"/>
          <w:numId w:val="1011"/>
        </w:numPr>
      </w:pPr>
      <w:r>
        <w:t xml:space="preserve">Apollo and GIC pipeline commentary</w:t>
      </w:r>
    </w:p>
    <w:p>
      <w:pPr>
        <w:pStyle w:val="Compact"/>
        <w:numPr>
          <w:ilvl w:val="0"/>
          <w:numId w:val="1011"/>
        </w:numPr>
      </w:pPr>
      <w:r>
        <w:t xml:space="preserve">Occupancy, rent recapture, same-store rental growth, and tenant-credit trends</w:t>
      </w:r>
    </w:p>
    <w:p>
      <w:pPr>
        <w:pStyle w:val="Compact"/>
        <w:numPr>
          <w:ilvl w:val="0"/>
          <w:numId w:val="1011"/>
        </w:numPr>
      </w:pPr>
      <w:r>
        <w:t xml:space="preserve">Lease-termination income and the underlying AFFO bridge</w:t>
      </w:r>
    </w:p>
    <w:p>
      <w:pPr>
        <w:pStyle w:val="Compact"/>
        <w:numPr>
          <w:ilvl w:val="0"/>
          <w:numId w:val="1011"/>
        </w:numPr>
      </w:pPr>
      <w:r>
        <w:t xml:space="preserve">Net debt / EBITDAre, liquidity, forward-equity settlement, and refinancing plans</w:t>
      </w:r>
    </w:p>
    <w:p>
      <w:pPr>
        <w:pStyle w:val="FirstParagraph"/>
      </w:pPr>
      <w:r>
        <w:rPr>
          <w:i/>
          <w:iCs/>
        </w:rPr>
        <w:t xml:space="preserve">Sources reviewed: Realty Income 1Q26 earnings call and Form 10-Q; 2Q25 earnings release; July 13, 2026 credit-facility 8-K.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2026-08-05T01:10:25Z</dcterms:created>
  <dcterms:modified xsi:type="dcterms:W3CDTF">2026-08-05T01:10:25Z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