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Realty Income Corporation (O)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Realty Income Corporation</w:t>
            </w:r>
          </w:p>
        </w:tc>
      </w:tr>
      <w:tr>
        <w:tc>
          <w:tcPr>
            <w:tcW w:type="dxa" w:w="4320"/>
          </w:tcPr>
          <w:p>
            <w:r>
              <w:rPr>
                <w:rFonts w:ascii="Calibri" w:hAnsi="Calibri"/>
                <w:b/>
                <w:sz w:val="22"/>
              </w:rPr>
              <w:t>Ticker</w:t>
            </w:r>
          </w:p>
        </w:tc>
        <w:tc>
          <w:tcPr>
            <w:tcW w:type="dxa" w:w="4320"/>
          </w:tcPr>
          <w:p>
            <w:r>
              <w:rPr>
                <w:rFonts w:ascii="Calibri" w:hAnsi="Calibri"/>
                <w:sz w:val="22"/>
              </w:rPr>
              <w:t>O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Expected Earnings Date</w:t>
            </w:r>
          </w:p>
        </w:tc>
        <w:tc>
          <w:tcPr>
            <w:tcW w:type="dxa" w:w="4320"/>
          </w:tcPr>
          <w:p>
            <w:r>
              <w:rPr>
                <w:rFonts w:ascii="Calibri" w:hAnsi="Calibri"/>
                <w:sz w:val="22"/>
              </w:rPr>
              <w:t>Mid-August 2026</w:t>
            </w:r>
          </w:p>
        </w:tc>
      </w:tr>
      <w:tr>
        <w:tc>
          <w:tcPr>
            <w:tcW w:type="dxa" w:w="4320"/>
          </w:tcPr>
          <w:p>
            <w:r>
              <w:rPr>
                <w:rFonts w:ascii="Calibri" w:hAnsi="Calibri"/>
                <w:b/>
                <w:sz w:val="22"/>
              </w:rPr>
              <w:t>Last Earnings Date</w:t>
            </w:r>
          </w:p>
        </w:tc>
        <w:tc>
          <w:tcPr>
            <w:tcW w:type="dxa" w:w="4320"/>
          </w:tcPr>
          <w:p>
            <w:r>
              <w:rPr>
                <w:rFonts w:ascii="Calibri" w:hAnsi="Calibri"/>
                <w:sz w:val="22"/>
              </w:rPr>
              <w:t>May 6, 2026 (Q1 2026)</w:t>
            </w:r>
          </w:p>
        </w:tc>
      </w:tr>
      <w:tr>
        <w:tc>
          <w:tcPr>
            <w:tcW w:type="dxa" w:w="4320"/>
          </w:tcPr>
          <w:p>
            <w:r>
              <w:rPr>
                <w:rFonts w:ascii="Calibri" w:hAnsi="Calibri"/>
                <w:b/>
                <w:sz w:val="22"/>
              </w:rPr>
              <w:t>Prepared Date</w:t>
            </w:r>
          </w:p>
        </w:tc>
        <w:tc>
          <w:tcPr>
            <w:tcW w:type="dxa" w:w="4320"/>
          </w:tcPr>
          <w:p>
            <w:r>
              <w:rPr>
                <w:rFonts w:ascii="Calibri" w:hAnsi="Calibri"/>
                <w:sz w:val="22"/>
              </w:rPr>
              <w:t>August 4, 2026</w:t>
            </w:r>
          </w:p>
        </w:tc>
      </w:tr>
      <w:tr>
        <w:tc>
          <w:tcPr>
            <w:tcW w:type="dxa" w:w="4320"/>
          </w:tcPr>
          <w:p>
            <w:r>
              <w:rPr>
                <w:rFonts w:ascii="Calibri" w:hAnsi="Calibri"/>
                <w:b/>
                <w:sz w:val="22"/>
              </w:rPr>
              <w:t>Sector / Sub-Sector</w:t>
            </w:r>
          </w:p>
        </w:tc>
        <w:tc>
          <w:tcPr>
            <w:tcW w:type="dxa" w:w="4320"/>
          </w:tcPr>
          <w:p>
            <w:r>
              <w:rPr>
                <w:rFonts w:ascii="Calibri" w:hAnsi="Calibri"/>
                <w:sz w:val="22"/>
              </w:rPr>
              <w:t>REIT — Net Lease / Retail</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modestly constructive — consensus AFFO per share of $1.086 represents a low bar given O's Q1 beat and raised guidance, but the real swing factor is whether </w:t>
      </w:r>
      <w:r>
        <w:rPr>
          <w:rFonts w:ascii="Calibri" w:hAnsi="Calibri"/>
          <w:b/>
          <w:color w:val="525866"/>
          <w:sz w:val="22"/>
        </w:rPr>
        <w:t>investment volume momentum</w:t>
      </w:r>
      <w:r>
        <w:rPr>
          <w:rFonts w:ascii="Calibri" w:hAnsi="Calibri"/>
          <w:color w:val="525866"/>
          <w:sz w:val="22"/>
        </w:rPr>
        <w:t xml:space="preserve"> and the private capital ecosystem (Apollo JV, GIC build-to-suit, Core Plus Fund) can sustain the $9.5B full-year deployment pace, with lease termination income normalization the key downside wildcard.</w:t>
      </w:r>
    </w:p>
    <w:p>
      <w:r>
        <w:rPr>
          <w:rFonts w:ascii="Calibri" w:hAnsi="Calibri"/>
          <w:color w:val="525866"/>
          <w:sz w:val="22"/>
        </w:rPr>
        <w:t xml:space="preserve">Realty Income heads into Q2 2026 with a favorable setup: consensus AFFO per share of $1.086 sits comfortably below the Q1 2026 actual of $1.13, and management raised full-year guidance to $4.41–$4.44 after a strong first quarter — suggesting the bar is not stretched. </w:t>
      </w:r>
      <w:r>
        <w:rPr>
          <w:rFonts w:ascii="Calibri" w:hAnsi="Calibri"/>
          <w:b/>
          <w:color w:val="525866"/>
          <w:sz w:val="22"/>
        </w:rPr>
        <w:t>Guidance tone has shifted decisively more confident</w:t>
      </w:r>
      <w:r>
        <w:rPr>
          <w:rFonts w:ascii="Calibri" w:hAnsi="Calibri"/>
          <w:color w:val="525866"/>
          <w:sz w:val="22"/>
        </w:rPr>
        <w:t xml:space="preserve"> since the Q4 2025 call, with investment volume guidance lifted from $8B to $9.5B and credit loss assumptions lowered to ~40 bps, reflecting improved portfolio visibility. Estimate revisions have tracked guidance higher — FY 2026 AFFO consensus has moved from $4.388 (5 days post-Q1 print) to $4.415 currently — though the gap between consensus and the guidance midpoint ($4.425) remains narrow, leaving little cushion for a miss. The stock has underperformed both VNQ (+1.9%) and the S&amp;P 500 (+5.1%) since the Q1 print, trading at a modest discount to historical P/AFFO averages (~12.5–13.8x), suggesting the market has not priced in a beat and sentiment remains cautious. The key wildcard is </w:t>
      </w:r>
      <w:r>
        <w:rPr>
          <w:rFonts w:ascii="Calibri" w:hAnsi="Calibri"/>
          <w:b/>
          <w:color w:val="525866"/>
          <w:sz w:val="22"/>
        </w:rPr>
        <w:t>lease termination income</w:t>
      </w:r>
      <w:r>
        <w:rPr>
          <w:rFonts w:ascii="Calibri" w:hAnsi="Calibri"/>
          <w:color w:val="525866"/>
          <w:sz w:val="22"/>
        </w:rPr>
        <w:t>: Q1 2026 saw an outsized $40.2M, management guided $45–50M for the full year (implying only $5–10M remaining for Q2–Q4), and any normalization below expectations could weigh on reported AFFO even if underlying portfolio fundamentals remain solid.</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p>
    <w:p>
      <w:r>
        <w:rPr>
          <w:rFonts w:ascii="Calibri" w:hAnsi="Calibri"/>
          <w:b/>
          <w:color w:val="525866"/>
          <w:sz w:val="22"/>
        </w:rPr>
        <w:t xml:space="preserve">Key Takeaway: </w:t>
      </w:r>
      <w:r>
        <w:rPr>
          <w:rFonts w:ascii="Calibri" w:hAnsi="Calibri"/>
          <w:color w:val="525866"/>
          <w:sz w:val="22"/>
        </w:rPr>
        <w:t xml:space="preserve">Consensus represents a </w:t>
      </w:r>
    </w:p>
    <w:p>
      <w:pPr>
        <w:pStyle w:val="Heading2"/>
      </w:pPr>
      <w:r>
        <w:rPr>
          <w:rFonts w:ascii="Calibri" w:hAnsi="Calibri"/>
          <w:b/>
          <w:color w:val="3B4259"/>
          <w:sz w:val="28"/>
        </w:rPr>
        <w:t>Table 1 — Current Quarter Snapshot (Q2 2026)</w:t>
      </w:r>
    </w:p>
    <w:p>
      <w:r>
        <w:rPr>
          <w:rFonts w:ascii="Calibri" w:hAnsi="Calibri"/>
          <w:b/>
          <w:color w:val="525866"/>
          <w:sz w:val="22"/>
        </w:rPr>
        <w:t xml:space="preserve">Key Takeaway: </w:t>
      </w:r>
      <w:r>
        <w:rPr>
          <w:rFonts w:ascii="Calibri" w:hAnsi="Calibri"/>
          <w:color w:val="525866"/>
          <w:sz w:val="22"/>
        </w:rPr>
        <w:t xml:space="preserve">Consensus is a </w:t>
      </w:r>
    </w:p>
    <w:p>
      <w:r>
        <w:rPr>
          <w:rFonts w:ascii="Calibri" w:hAnsi="Calibri"/>
          <w:color w:val="525866"/>
          <w:sz w:val="22"/>
        </w:rPr>
        <w:t>Note: The two incomplete 'Key Takeaway' stubs above are placeholders — see the full takeaway below.</w:t>
      </w:r>
    </w:p>
    <w:p>
      <w:r>
        <w:rPr>
          <w:rFonts w:ascii="Calibri" w:hAnsi="Calibri"/>
          <w:b/>
          <w:color w:val="525866"/>
          <w:sz w:val="22"/>
        </w:rPr>
        <w:t xml:space="preserve">Key Takeaway: </w:t>
      </w:r>
      <w:r>
        <w:rPr>
          <w:rFonts w:ascii="Calibri" w:hAnsi="Calibri"/>
          <w:color w:val="525866"/>
          <w:sz w:val="22"/>
        </w:rPr>
        <w:t xml:space="preserve">Consensus is a </w:t>
      </w:r>
    </w:p>
    <w:p>
      <w:r>
        <w:rPr>
          <w:rFonts w:ascii="Calibri" w:hAnsi="Calibri"/>
          <w:color w:val="525866"/>
          <w:sz w:val="22"/>
        </w:rPr>
        <w:t>Note: The two incomplete 'Key Takeaway' stubs above are placeholders — see the full takeaway below.</w:t>
      </w:r>
    </w:p>
    <w:p>
      <w:r>
        <w:rPr>
          <w:rFonts w:ascii="Calibri" w:hAnsi="Calibri"/>
          <w:color w:val="525866"/>
          <w:sz w:val="22"/>
        </w:rPr>
        <w:t xml:space="preserve">Consensus is a </w:t>
      </w:r>
      <w:r>
        <w:rPr>
          <w:rFonts w:ascii="Calibri" w:hAnsi="Calibri"/>
          <w:b/>
          <w:color w:val="525866"/>
          <w:sz w:val="22"/>
        </w:rPr>
        <w:t>low bar</w:t>
      </w:r>
      <w:r>
        <w:rPr>
          <w:rFonts w:ascii="Calibri" w:hAnsi="Calibri"/>
          <w:color w:val="525866"/>
          <w:sz w:val="22"/>
        </w:rPr>
        <w:t xml:space="preserve"> heading into Q2 2026 — AFFO per share consensus of $1.086 is well below Q1's $1.13 actual, and the full-year guidance midpoint of $4.425 sits above current FY consensus of $4.415. </w:t>
      </w:r>
      <w:r>
        <w:rPr>
          <w:rFonts w:ascii="Calibri" w:hAnsi="Calibri"/>
          <w:b/>
          <w:color w:val="525866"/>
          <w:sz w:val="22"/>
        </w:rPr>
        <w:t>AFFO per share is the primary swing factor</w:t>
      </w:r>
      <w:r>
        <w:rPr>
          <w:rFonts w:ascii="Calibri" w:hAnsi="Calibri"/>
          <w:color w:val="525866"/>
          <w:sz w:val="22"/>
        </w:rPr>
        <w:t>; investment volume and occupancy are secondary reads on platform momentum.</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Qtr)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AFFO per Share ($)</w:t>
            </w:r>
          </w:p>
        </w:tc>
        <w:tc>
          <w:tcPr>
            <w:tcW w:type="dxa" w:w="1234"/>
          </w:tcPr>
          <w:p>
            <w:r>
              <w:rPr>
                <w:rFonts w:ascii="Calibri" w:hAnsi="Calibri"/>
                <w:sz w:val="22"/>
              </w:rPr>
              <w:t>$1.13</w:t>
            </w:r>
          </w:p>
        </w:tc>
        <w:tc>
          <w:tcPr>
            <w:tcW w:type="dxa" w:w="1234"/>
          </w:tcPr>
          <w:p>
            <w:r>
              <w:rPr>
                <w:rFonts w:ascii="Calibri" w:hAnsi="Calibri"/>
                <w:sz w:val="22"/>
              </w:rPr>
              <w:t>$1.05</w:t>
            </w:r>
          </w:p>
        </w:tc>
        <w:tc>
          <w:tcPr>
            <w:tcW w:type="dxa" w:w="1234"/>
          </w:tcPr>
          <w:p>
            <w:r>
              <w:rPr>
                <w:rFonts w:ascii="Calibri" w:hAnsi="Calibri"/>
                <w:sz w:val="22"/>
              </w:rPr>
              <w:t>$1.086</w:t>
            </w:r>
          </w:p>
        </w:tc>
        <w:tc>
          <w:tcPr>
            <w:tcW w:type="dxa" w:w="1234"/>
          </w:tcPr>
          <w:p>
            <w:r>
              <w:rPr>
                <w:rFonts w:ascii="Calibri" w:hAnsi="Calibri"/>
                <w:sz w:val="22"/>
              </w:rPr>
              <w:t>+3.4%</w:t>
            </w:r>
          </w:p>
        </w:tc>
        <w:tc>
          <w:tcPr>
            <w:tcW w:type="dxa" w:w="1234"/>
          </w:tcPr>
          <w:p>
            <w:r>
              <w:rPr>
                <w:rFonts w:ascii="Calibri" w:hAnsi="Calibri"/>
                <w:sz w:val="22"/>
              </w:rPr>
              <w:t>$4.41–$4.44 (FY)</w:t>
            </w:r>
          </w:p>
        </w:tc>
        <w:tc>
          <w:tcPr>
            <w:tcW w:type="dxa" w:w="1234"/>
          </w:tcPr>
          <w:p>
            <w:r>
              <w:rPr>
                <w:rFonts w:ascii="Calibri" w:hAnsi="Calibri"/>
                <w:sz w:val="22"/>
              </w:rPr>
              <w:t>−0.2% vs. midpoint ($4.425)</w:t>
            </w:r>
          </w:p>
        </w:tc>
      </w:tr>
      <w:tr>
        <w:tc>
          <w:tcPr>
            <w:tcW w:type="dxa" w:w="1234"/>
          </w:tcPr>
          <w:p>
            <w:r>
              <w:rPr>
                <w:rFonts w:ascii="Calibri" w:hAnsi="Calibri"/>
                <w:sz w:val="22"/>
              </w:rPr>
              <w:t>Rental Revenue ($M)</w:t>
            </w:r>
          </w:p>
        </w:tc>
        <w:tc>
          <w:tcPr>
            <w:tcW w:type="dxa" w:w="1234"/>
          </w:tcPr>
          <w:p>
            <w:r>
              <w:rPr>
                <w:rFonts w:ascii="Calibri" w:hAnsi="Calibri"/>
                <w:sz w:val="22"/>
              </w:rPr>
              <w:t>$1,440.8M</w:t>
            </w:r>
          </w:p>
        </w:tc>
        <w:tc>
          <w:tcPr>
            <w:tcW w:type="dxa" w:w="1234"/>
          </w:tcPr>
          <w:p>
            <w:r>
              <w:rPr>
                <w:rFonts w:ascii="Calibri" w:hAnsi="Calibri"/>
                <w:sz w:val="22"/>
              </w:rPr>
              <w:t>$1,338.2M</w:t>
            </w:r>
          </w:p>
        </w:tc>
        <w:tc>
          <w:tcPr>
            <w:tcW w:type="dxa" w:w="1234"/>
          </w:tcPr>
          <w:p>
            <w:r>
              <w:rPr>
                <w:rFonts w:ascii="Calibri" w:hAnsi="Calibri"/>
                <w:sz w:val="22"/>
              </w:rPr>
              <w:t>$1,426.3M</w:t>
            </w:r>
          </w:p>
        </w:tc>
        <w:tc>
          <w:tcPr>
            <w:tcW w:type="dxa" w:w="1234"/>
          </w:tcPr>
          <w:p>
            <w:r>
              <w:rPr>
                <w:rFonts w:ascii="Calibri" w:hAnsi="Calibri"/>
                <w:sz w:val="22"/>
              </w:rPr>
              <w:t>+6.6%</w:t>
            </w:r>
          </w:p>
        </w:tc>
        <w:tc>
          <w:tcPr>
            <w:tcW w:type="dxa" w:w="1234"/>
          </w:tcPr>
          <w:p>
            <w:r>
              <w:rPr>
                <w:rFonts w:ascii="Calibri" w:hAnsi="Calibri"/>
                <w:sz w:val="22"/>
              </w:rPr>
              <w:t>N/A — no quarterly rev. guidance</w:t>
            </w:r>
          </w:p>
        </w:tc>
        <w:tc>
          <w:tcPr>
            <w:tcW w:type="dxa" w:w="1234"/>
          </w:tcPr>
          <w:p>
            <w:r>
              <w:rPr>
                <w:rFonts w:ascii="Calibri" w:hAnsi="Calibri"/>
                <w:sz w:val="22"/>
              </w:rPr>
              <w:t>N/A</w:t>
            </w:r>
          </w:p>
        </w:tc>
      </w:tr>
      <w:tr>
        <w:tc>
          <w:tcPr>
            <w:tcW w:type="dxa" w:w="1234"/>
          </w:tcPr>
          <w:p>
            <w:r>
              <w:rPr>
                <w:rFonts w:ascii="Calibri" w:hAnsi="Calibri"/>
                <w:sz w:val="22"/>
              </w:rPr>
              <w:t>Net Operating Income ($M)</w:t>
            </w:r>
          </w:p>
        </w:tc>
        <w:tc>
          <w:tcPr>
            <w:tcW w:type="dxa" w:w="1234"/>
          </w:tcPr>
          <w:p>
            <w:r>
              <w:rPr>
                <w:rFonts w:ascii="Calibri" w:hAnsi="Calibri"/>
                <w:sz w:val="22"/>
              </w:rPr>
              <w:t>$1,323.9M</w:t>
            </w:r>
          </w:p>
        </w:tc>
        <w:tc>
          <w:tcPr>
            <w:tcW w:type="dxa" w:w="1234"/>
          </w:tcPr>
          <w:p>
            <w:r>
              <w:rPr>
                <w:rFonts w:ascii="Calibri" w:hAnsi="Calibri"/>
                <w:sz w:val="22"/>
              </w:rPr>
              <w:t>$1,230.8M</w:t>
            </w:r>
          </w:p>
        </w:tc>
        <w:tc>
          <w:tcPr>
            <w:tcW w:type="dxa" w:w="1234"/>
          </w:tcPr>
          <w:p>
            <w:r>
              <w:rPr>
                <w:rFonts w:ascii="Calibri" w:hAnsi="Calibri"/>
                <w:sz w:val="22"/>
              </w:rPr>
              <w:t>$1,335.7M</w:t>
            </w:r>
          </w:p>
        </w:tc>
        <w:tc>
          <w:tcPr>
            <w:tcW w:type="dxa" w:w="1234"/>
          </w:tcPr>
          <w:p>
            <w:r>
              <w:rPr>
                <w:rFonts w:ascii="Calibri" w:hAnsi="Calibri"/>
                <w:sz w:val="22"/>
              </w:rPr>
              <w:t>+8.5%</w:t>
            </w:r>
          </w:p>
        </w:tc>
        <w:tc>
          <w:tcPr>
            <w:tcW w:type="dxa" w:w="1234"/>
          </w:tcPr>
          <w:p>
            <w:r>
              <w:rPr>
                <w:rFonts w:ascii="Calibri" w:hAnsi="Calibri"/>
                <w:sz w:val="22"/>
              </w:rPr>
              <w:t>N/A — no quarterly NOI guidance</w:t>
            </w:r>
          </w:p>
        </w:tc>
        <w:tc>
          <w:tcPr>
            <w:tcW w:type="dxa" w:w="1234"/>
          </w:tcPr>
          <w:p>
            <w:r>
              <w:rPr>
                <w:rFonts w:ascii="Calibri" w:hAnsi="Calibri"/>
                <w:sz w:val="22"/>
              </w:rPr>
              <w:t>N/A</w:t>
            </w:r>
          </w:p>
        </w:tc>
      </w:tr>
      <w:tr>
        <w:tc>
          <w:tcPr>
            <w:tcW w:type="dxa" w:w="1234"/>
          </w:tcPr>
          <w:p>
            <w:r>
              <w:rPr>
                <w:rFonts w:ascii="Calibri" w:hAnsi="Calibri"/>
                <w:sz w:val="22"/>
              </w:rPr>
              <w:t>Occupancy Rate (%)</w:t>
            </w:r>
          </w:p>
        </w:tc>
        <w:tc>
          <w:tcPr>
            <w:tcW w:type="dxa" w:w="1234"/>
          </w:tcPr>
          <w:p>
            <w:r>
              <w:rPr>
                <w:rFonts w:ascii="Calibri" w:hAnsi="Calibri"/>
                <w:sz w:val="22"/>
              </w:rPr>
              <w:t>98.9%</w:t>
            </w:r>
          </w:p>
        </w:tc>
        <w:tc>
          <w:tcPr>
            <w:tcW w:type="dxa" w:w="1234"/>
          </w:tcPr>
          <w:p>
            <w:r>
              <w:rPr>
                <w:rFonts w:ascii="Calibri" w:hAnsi="Calibri"/>
                <w:sz w:val="22"/>
              </w:rPr>
              <w:t>98.6%</w:t>
            </w:r>
          </w:p>
        </w:tc>
        <w:tc>
          <w:tcPr>
            <w:tcW w:type="dxa" w:w="1234"/>
          </w:tcPr>
          <w:p>
            <w:r>
              <w:rPr>
                <w:rFonts w:ascii="Calibri" w:hAnsi="Calibri"/>
                <w:sz w:val="22"/>
              </w:rPr>
              <w:t>98.8%</w:t>
            </w:r>
          </w:p>
        </w:tc>
        <w:tc>
          <w:tcPr>
            <w:tcW w:type="dxa" w:w="1234"/>
          </w:tcPr>
          <w:p>
            <w:r>
              <w:rPr>
                <w:rFonts w:ascii="Calibri" w:hAnsi="Calibri"/>
                <w:sz w:val="22"/>
              </w:rPr>
              <w:t>+20 bps</w:t>
            </w:r>
          </w:p>
        </w:tc>
        <w:tc>
          <w:tcPr>
            <w:tcW w:type="dxa" w:w="1234"/>
          </w:tcPr>
          <w:p>
            <w:r>
              <w:rPr>
                <w:rFonts w:ascii="Calibri" w:hAnsi="Calibri"/>
                <w:sz w:val="22"/>
              </w:rPr>
              <w:t>~98.5% (FY guidance)</w:t>
            </w:r>
          </w:p>
        </w:tc>
        <w:tc>
          <w:tcPr>
            <w:tcW w:type="dxa" w:w="1234"/>
          </w:tcPr>
          <w:p>
            <w:r>
              <w:rPr>
                <w:rFonts w:ascii="Calibri" w:hAnsi="Calibri"/>
                <w:sz w:val="22"/>
              </w:rPr>
              <w:t>+30 bps above FY guide</w:t>
            </w:r>
          </w:p>
        </w:tc>
      </w:tr>
      <w:tr>
        <w:tc>
          <w:tcPr>
            <w:tcW w:type="dxa" w:w="1234"/>
          </w:tcPr>
          <w:p>
            <w:r>
              <w:rPr>
                <w:rFonts w:ascii="Calibri" w:hAnsi="Calibri"/>
                <w:sz w:val="22"/>
              </w:rPr>
              <w:t>Same-Store NOI Growth (%)</w:t>
            </w:r>
          </w:p>
        </w:tc>
        <w:tc>
          <w:tcPr>
            <w:tcW w:type="dxa" w:w="1234"/>
          </w:tcPr>
          <w:p>
            <w:r>
              <w:rPr>
                <w:rFonts w:ascii="Calibri" w:hAnsi="Calibri"/>
                <w:sz w:val="22"/>
              </w:rPr>
              <w:t>~0.8% (Q1 2026 actual)</w:t>
            </w:r>
          </w:p>
        </w:tc>
        <w:tc>
          <w:tcPr>
            <w:tcW w:type="dxa" w:w="1234"/>
          </w:tcPr>
          <w:p>
            <w:r>
              <w:rPr>
                <w:rFonts w:ascii="Calibri" w:hAnsi="Calibri"/>
                <w:sz w:val="22"/>
              </w:rPr>
              <w:t>~1.1% (Q2 2025 actual)</w:t>
            </w:r>
          </w:p>
        </w:tc>
        <w:tc>
          <w:tcPr>
            <w:tcW w:type="dxa" w:w="1234"/>
          </w:tcPr>
          <w:p>
            <w:r>
              <w:rPr>
                <w:rFonts w:ascii="Calibri" w:hAnsi="Calibri"/>
                <w:sz w:val="22"/>
              </w:rPr>
              <w:t>~1.5% (consensus)</w:t>
            </w:r>
          </w:p>
        </w:tc>
        <w:tc>
          <w:tcPr>
            <w:tcW w:type="dxa" w:w="1234"/>
          </w:tcPr>
          <w:p>
            <w:r>
              <w:rPr>
                <w:rFonts w:ascii="Calibri" w:hAnsi="Calibri"/>
                <w:sz w:val="22"/>
              </w:rPr>
              <w:t>+40 bps</w:t>
            </w:r>
          </w:p>
        </w:tc>
        <w:tc>
          <w:tcPr>
            <w:tcW w:type="dxa" w:w="1234"/>
          </w:tcPr>
          <w:p>
            <w:r>
              <w:rPr>
                <w:rFonts w:ascii="Calibri" w:hAnsi="Calibri"/>
                <w:sz w:val="22"/>
              </w:rPr>
              <w:t>1.0%–1.3% (FY guidance)</w:t>
            </w:r>
          </w:p>
        </w:tc>
        <w:tc>
          <w:tcPr>
            <w:tcW w:type="dxa" w:w="1234"/>
          </w:tcPr>
          <w:p>
            <w:r>
              <w:rPr>
                <w:rFonts w:ascii="Calibri" w:hAnsi="Calibri"/>
                <w:sz w:val="22"/>
              </w:rPr>
              <w:t>+20–50 bps above FY guide</w:t>
            </w:r>
          </w:p>
        </w:tc>
      </w:tr>
      <w:tr>
        <w:tc>
          <w:tcPr>
            <w:tcW w:type="dxa" w:w="1234"/>
          </w:tcPr>
          <w:p>
            <w:r>
              <w:rPr>
                <w:rFonts w:ascii="Calibri" w:hAnsi="Calibri"/>
                <w:sz w:val="22"/>
              </w:rPr>
              <w:t>Investment Volume ($M)</w:t>
            </w:r>
          </w:p>
        </w:tc>
        <w:tc>
          <w:tcPr>
            <w:tcW w:type="dxa" w:w="1234"/>
          </w:tcPr>
          <w:p>
            <w:r>
              <w:rPr>
                <w:rFonts w:ascii="Calibri" w:hAnsi="Calibri"/>
                <w:sz w:val="22"/>
              </w:rPr>
              <w:t>$1,580M (Q1 2026 actual)</w:t>
            </w:r>
          </w:p>
        </w:tc>
        <w:tc>
          <w:tcPr>
            <w:tcW w:type="dxa" w:w="1234"/>
          </w:tcPr>
          <w:p>
            <w:r>
              <w:rPr>
                <w:rFonts w:ascii="Calibri" w:hAnsi="Calibri"/>
                <w:sz w:val="22"/>
              </w:rPr>
              <w:t>$870.7M (Q2 2025 actual)</w:t>
            </w:r>
          </w:p>
        </w:tc>
        <w:tc>
          <w:tcPr>
            <w:tcW w:type="dxa" w:w="1234"/>
          </w:tcPr>
          <w:p>
            <w:r>
              <w:rPr>
                <w:rFonts w:ascii="Calibri" w:hAnsi="Calibri"/>
                <w:sz w:val="22"/>
              </w:rPr>
              <w:t>$1,964.2M</w:t>
            </w:r>
          </w:p>
        </w:tc>
        <w:tc>
          <w:tcPr>
            <w:tcW w:type="dxa" w:w="1234"/>
          </w:tcPr>
          <w:p>
            <w:r>
              <w:rPr>
                <w:rFonts w:ascii="Calibri" w:hAnsi="Calibri"/>
                <w:sz w:val="22"/>
              </w:rPr>
              <w:t>+125.6%</w:t>
            </w:r>
          </w:p>
        </w:tc>
        <w:tc>
          <w:tcPr>
            <w:tcW w:type="dxa" w:w="1234"/>
          </w:tcPr>
          <w:p>
            <w:r>
              <w:rPr>
                <w:rFonts w:ascii="Calibri" w:hAnsi="Calibri"/>
                <w:sz w:val="22"/>
              </w:rPr>
              <w:t>$9.5B (FY guidance)</w:t>
            </w:r>
          </w:p>
        </w:tc>
        <w:tc>
          <w:tcPr>
            <w:tcW w:type="dxa" w:w="1234"/>
          </w:tcPr>
          <w:p>
            <w:r>
              <w:rPr>
                <w:rFonts w:ascii="Calibri" w:hAnsi="Calibri"/>
                <w:sz w:val="22"/>
              </w:rPr>
              <w:t>~83% of FY guide deployed in Q1–Q2 consensus</w:t>
            </w:r>
          </w:p>
        </w:tc>
      </w:tr>
      <w:tr>
        <w:tc>
          <w:tcPr>
            <w:tcW w:type="dxa" w:w="1234"/>
          </w:tcPr>
          <w:p>
            <w:r>
              <w:rPr>
                <w:rFonts w:ascii="Calibri" w:hAnsi="Calibri"/>
                <w:sz w:val="22"/>
              </w:rPr>
              <w:t>Acquisitions Cap Rate (%)</w:t>
            </w:r>
          </w:p>
        </w:tc>
        <w:tc>
          <w:tcPr>
            <w:tcW w:type="dxa" w:w="1234"/>
          </w:tcPr>
          <w:p>
            <w:r>
              <w:rPr>
                <w:rFonts w:ascii="Calibri" w:hAnsi="Calibri"/>
                <w:sz w:val="22"/>
              </w:rPr>
              <w:t>6.7%</w:t>
            </w:r>
          </w:p>
        </w:tc>
        <w:tc>
          <w:tcPr>
            <w:tcW w:type="dxa" w:w="1234"/>
          </w:tcPr>
          <w:p>
            <w:r>
              <w:rPr>
                <w:rFonts w:ascii="Calibri" w:hAnsi="Calibri"/>
                <w:sz w:val="22"/>
              </w:rPr>
              <w:t>7.1%</w:t>
            </w:r>
          </w:p>
        </w:tc>
        <w:tc>
          <w:tcPr>
            <w:tcW w:type="dxa" w:w="1234"/>
          </w:tcPr>
          <w:p>
            <w:r>
              <w:rPr>
                <w:rFonts w:ascii="Calibri" w:hAnsi="Calibri"/>
                <w:sz w:val="22"/>
              </w:rPr>
              <w:t>7.08%</w:t>
            </w:r>
          </w:p>
        </w:tc>
        <w:tc>
          <w:tcPr>
            <w:tcW w:type="dxa" w:w="1234"/>
          </w:tcPr>
          <w:p>
            <w:r>
              <w:rPr>
                <w:rFonts w:ascii="Calibri" w:hAnsi="Calibri"/>
                <w:sz w:val="22"/>
              </w:rPr>
              <w:t>−0 bps</w:t>
            </w:r>
          </w:p>
        </w:tc>
        <w:tc>
          <w:tcPr>
            <w:tcW w:type="dxa" w:w="1234"/>
          </w:tcPr>
          <w:p>
            <w:r>
              <w:rPr>
                <w:rFonts w:ascii="Calibri" w:hAnsi="Calibri"/>
                <w:sz w:val="22"/>
              </w:rPr>
              <w:t>~150–160 bps spread to WACC</w:t>
            </w:r>
          </w:p>
        </w:tc>
        <w:tc>
          <w:tcPr>
            <w:tcW w:type="dxa" w:w="1234"/>
          </w:tcPr>
          <w:p>
            <w:r>
              <w:rPr>
                <w:rFonts w:ascii="Calibri" w:hAnsi="Calibri"/>
                <w:sz w:val="22"/>
              </w:rPr>
              <w:t>N/A</w:t>
            </w:r>
          </w:p>
        </w:tc>
      </w:tr>
      <w:tr>
        <w:tc>
          <w:tcPr>
            <w:tcW w:type="dxa" w:w="1234"/>
          </w:tcPr>
          <w:p>
            <w:r>
              <w:rPr>
                <w:rFonts w:ascii="Calibri" w:hAnsi="Calibri"/>
                <w:sz w:val="22"/>
              </w:rPr>
              <w:t>Dividend per Share ($)</w:t>
            </w:r>
          </w:p>
        </w:tc>
        <w:tc>
          <w:tcPr>
            <w:tcW w:type="dxa" w:w="1234"/>
          </w:tcPr>
          <w:p>
            <w:r>
              <w:rPr>
                <w:rFonts w:ascii="Calibri" w:hAnsi="Calibri"/>
                <w:sz w:val="22"/>
              </w:rPr>
              <w:t>$0.810</w:t>
            </w:r>
          </w:p>
        </w:tc>
        <w:tc>
          <w:tcPr>
            <w:tcW w:type="dxa" w:w="1234"/>
          </w:tcPr>
          <w:p>
            <w:r>
              <w:rPr>
                <w:rFonts w:ascii="Calibri" w:hAnsi="Calibri"/>
                <w:sz w:val="22"/>
              </w:rPr>
              <w:t>$0.806</w:t>
            </w:r>
          </w:p>
        </w:tc>
        <w:tc>
          <w:tcPr>
            <w:tcW w:type="dxa" w:w="1234"/>
          </w:tcPr>
          <w:p>
            <w:r>
              <w:rPr>
                <w:rFonts w:ascii="Calibri" w:hAnsi="Calibri"/>
                <w:sz w:val="22"/>
              </w:rPr>
              <w:t>$0.817</w:t>
            </w:r>
          </w:p>
        </w:tc>
        <w:tc>
          <w:tcPr>
            <w:tcW w:type="dxa" w:w="1234"/>
          </w:tcPr>
          <w:p>
            <w:r>
              <w:rPr>
                <w:rFonts w:ascii="Calibri" w:hAnsi="Calibri"/>
                <w:sz w:val="22"/>
              </w:rPr>
              <w:t>+1.4%</w:t>
            </w:r>
          </w:p>
        </w:tc>
        <w:tc>
          <w:tcPr>
            <w:tcW w:type="dxa" w:w="1234"/>
          </w:tcPr>
          <w:p>
            <w:r>
              <w:rPr>
                <w:rFonts w:ascii="Calibri" w:hAnsi="Calibri"/>
                <w:sz w:val="22"/>
              </w:rPr>
              <w:t>N/A — monthly dividend</w:t>
            </w:r>
          </w:p>
        </w:tc>
        <w:tc>
          <w:tcPr>
            <w:tcW w:type="dxa" w:w="1234"/>
          </w:tcPr>
          <w:p>
            <w:r>
              <w:rPr>
                <w:rFonts w:ascii="Calibri" w:hAnsi="Calibri"/>
                <w:sz w:val="22"/>
              </w:rPr>
              <w:t>N/A</w:t>
            </w:r>
          </w:p>
        </w:tc>
      </w:tr>
    </w:tbl>
    <w:p>
      <w:r>
        <w:rPr>
          <w:rFonts w:ascii="Calibri" w:hAnsi="Calibri"/>
          <w:color w:val="525866"/>
          <w:sz w:val="22"/>
        </w:rPr>
        <w:t>Source: Visible Alpha consensus and actuals. All figures in USD. YoY change compares Q2 2026 consensus vs. Q2 2025 actual. FY 2026 guidance from Q1 2026 earnings call (May 6, 2026).</w:t>
      </w:r>
    </w:p>
    <w:p>
      <w:pPr>
        <w:pStyle w:val="Heading2"/>
      </w:pPr>
      <w:r>
        <w:rPr>
          <w:rFonts w:ascii="Calibri" w:hAnsi="Calibri"/>
          <w:b/>
          <w:color w:val="3B4259"/>
          <w:sz w:val="28"/>
        </w:rPr>
        <w:t>Table 2 — Beat/Miss History (Last 8 Quarters)</w:t>
      </w:r>
    </w:p>
    <w:p>
      <w:r>
        <w:rPr>
          <w:rFonts w:ascii="Calibri" w:hAnsi="Calibri"/>
          <w:color w:val="525866"/>
          <w:sz w:val="22"/>
        </w:rPr>
        <w:t>Top 2 KPIs: AFFO per Share and Rental Revenue</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Quarter</w:t>
            </w:r>
          </w:p>
        </w:tc>
        <w:tc>
          <w:tcPr>
            <w:tcW w:type="dxa" w:w="960"/>
            <w:shd w:val="clear" w:color="auto" w:fill="3B4259"/>
          </w:tcPr>
          <w:p>
            <w:r>
              <w:rPr>
                <w:rFonts w:ascii="Calibri" w:hAnsi="Calibri"/>
                <w:b/>
                <w:color w:val="FFFFFF"/>
                <w:sz w:val="22"/>
              </w:rPr>
              <w:t>AFFO/Share Reported</w:t>
            </w:r>
          </w:p>
        </w:tc>
        <w:tc>
          <w:tcPr>
            <w:tcW w:type="dxa" w:w="960"/>
            <w:shd w:val="clear" w:color="auto" w:fill="3B4259"/>
          </w:tcPr>
          <w:p>
            <w:r>
              <w:rPr>
                <w:rFonts w:ascii="Calibri" w:hAnsi="Calibri"/>
                <w:b/>
                <w:color w:val="FFFFFF"/>
                <w:sz w:val="22"/>
              </w:rPr>
              <w:t>AFFO/Share Consensus</w:t>
            </w:r>
          </w:p>
        </w:tc>
        <w:tc>
          <w:tcPr>
            <w:tcW w:type="dxa" w:w="960"/>
            <w:shd w:val="clear" w:color="auto" w:fill="3B4259"/>
          </w:tcPr>
          <w:p>
            <w:r>
              <w:rPr>
                <w:rFonts w:ascii="Calibri" w:hAnsi="Calibri"/>
                <w:b/>
                <w:color w:val="FFFFFF"/>
                <w:sz w:val="22"/>
              </w:rPr>
              <w:t>AFFO Surprise %</w:t>
            </w:r>
          </w:p>
        </w:tc>
        <w:tc>
          <w:tcPr>
            <w:tcW w:type="dxa" w:w="960"/>
            <w:shd w:val="clear" w:color="auto" w:fill="3B4259"/>
          </w:tcPr>
          <w:p>
            <w:r>
              <w:rPr>
                <w:rFonts w:ascii="Calibri" w:hAnsi="Calibri"/>
                <w:b/>
                <w:color w:val="FFFFFF"/>
                <w:sz w:val="22"/>
              </w:rPr>
              <w:t>Result</w:t>
            </w:r>
          </w:p>
        </w:tc>
        <w:tc>
          <w:tcPr>
            <w:tcW w:type="dxa" w:w="960"/>
            <w:shd w:val="clear" w:color="auto" w:fill="3B4259"/>
          </w:tcPr>
          <w:p>
            <w:r>
              <w:rPr>
                <w:rFonts w:ascii="Calibri" w:hAnsi="Calibri"/>
                <w:b/>
                <w:color w:val="FFFFFF"/>
                <w:sz w:val="22"/>
              </w:rPr>
              <w:t>Rev. Reported ($M)</w:t>
            </w:r>
          </w:p>
        </w:tc>
        <w:tc>
          <w:tcPr>
            <w:tcW w:type="dxa" w:w="960"/>
            <w:shd w:val="clear" w:color="auto" w:fill="3B4259"/>
          </w:tcPr>
          <w:p>
            <w:r>
              <w:rPr>
                <w:rFonts w:ascii="Calibri" w:hAnsi="Calibri"/>
                <w:b/>
                <w:color w:val="FFFFFF"/>
                <w:sz w:val="22"/>
              </w:rPr>
              <w:t>Rev. Consensus ($M)</w:t>
            </w:r>
          </w:p>
        </w:tc>
        <w:tc>
          <w:tcPr>
            <w:tcW w:type="dxa" w:w="960"/>
            <w:shd w:val="clear" w:color="auto" w:fill="3B4259"/>
          </w:tcPr>
          <w:p>
            <w:r>
              <w:rPr>
                <w:rFonts w:ascii="Calibri" w:hAnsi="Calibri"/>
                <w:b/>
                <w:color w:val="FFFFFF"/>
                <w:sz w:val="22"/>
              </w:rPr>
              <w:t>Rev. Surprise %</w:t>
            </w:r>
          </w:p>
        </w:tc>
        <w:tc>
          <w:tcPr>
            <w:tcW w:type="dxa" w:w="960"/>
            <w:shd w:val="clear" w:color="auto" w:fill="3B4259"/>
          </w:tcPr>
          <w:p>
            <w:r>
              <w:rPr>
                <w:rFonts w:ascii="Calibri" w:hAnsi="Calibri"/>
                <w:b/>
                <w:color w:val="FFFFFF"/>
                <w:sz w:val="22"/>
              </w:rPr>
              <w:t>Result</w:t>
            </w:r>
          </w:p>
        </w:tc>
      </w:tr>
      <w:tr>
        <w:tc>
          <w:tcPr>
            <w:tcW w:type="dxa" w:w="960"/>
          </w:tcPr>
          <w:p>
            <w:r>
              <w:rPr>
                <w:rFonts w:ascii="Calibri" w:hAnsi="Calibri"/>
                <w:sz w:val="22"/>
              </w:rPr>
              <w:t>Q2 2024</w:t>
            </w:r>
          </w:p>
        </w:tc>
        <w:tc>
          <w:tcPr>
            <w:tcW w:type="dxa" w:w="960"/>
          </w:tcPr>
          <w:p>
            <w:r>
              <w:rPr>
                <w:rFonts w:ascii="Calibri" w:hAnsi="Calibri"/>
                <w:sz w:val="22"/>
              </w:rPr>
              <w:t>$1.06</w:t>
            </w:r>
          </w:p>
        </w:tc>
        <w:tc>
          <w:tcPr>
            <w:tcW w:type="dxa" w:w="960"/>
          </w:tcPr>
          <w:p>
            <w:r>
              <w:rPr>
                <w:rFonts w:ascii="Calibri" w:hAnsi="Calibri"/>
                <w:sz w:val="22"/>
              </w:rPr>
              <w:t>$1.039</w:t>
            </w:r>
          </w:p>
        </w:tc>
        <w:tc>
          <w:tcPr>
            <w:tcW w:type="dxa" w:w="960"/>
          </w:tcPr>
          <w:p>
            <w:r>
              <w:rPr>
                <w:rFonts w:ascii="Calibri" w:hAnsi="Calibri"/>
                <w:b/>
                <w:color w:val="30A46C"/>
                <w:sz w:val="22"/>
              </w:rPr>
              <w:t>+2.0%</w:t>
            </w:r>
          </w:p>
        </w:tc>
        <w:tc>
          <w:tcPr>
            <w:tcW w:type="dxa" w:w="960"/>
          </w:tcPr>
          <w:p>
            <w:r>
              <w:rPr>
                <w:rFonts w:ascii="Calibri" w:hAnsi="Calibri"/>
                <w:b/>
                <w:color w:val="30A46C"/>
                <w:sz w:val="22"/>
              </w:rPr>
              <w:t>Beat</w:t>
            </w:r>
          </w:p>
        </w:tc>
        <w:tc>
          <w:tcPr>
            <w:tcW w:type="dxa" w:w="960"/>
          </w:tcPr>
          <w:p>
            <w:r>
              <w:rPr>
                <w:rFonts w:ascii="Calibri" w:hAnsi="Calibri"/>
                <w:sz w:val="22"/>
              </w:rPr>
              <w:t>$1,284.7M</w:t>
            </w:r>
          </w:p>
        </w:tc>
        <w:tc>
          <w:tcPr>
            <w:tcW w:type="dxa" w:w="960"/>
          </w:tcPr>
          <w:p>
            <w:r>
              <w:rPr>
                <w:rFonts w:ascii="Calibri" w:hAnsi="Calibri"/>
                <w:sz w:val="22"/>
              </w:rPr>
              <w:t>$1,243.4M</w:t>
            </w:r>
          </w:p>
        </w:tc>
        <w:tc>
          <w:tcPr>
            <w:tcW w:type="dxa" w:w="960"/>
          </w:tcPr>
          <w:p>
            <w:r>
              <w:rPr>
                <w:rFonts w:ascii="Calibri" w:hAnsi="Calibri"/>
                <w:b/>
                <w:color w:val="30A46C"/>
                <w:sz w:val="22"/>
              </w:rPr>
              <w:t>+3.3%</w:t>
            </w:r>
          </w:p>
        </w:tc>
        <w:tc>
          <w:tcPr>
            <w:tcW w:type="dxa" w:w="960"/>
          </w:tcPr>
          <w:p>
            <w:r>
              <w:rPr>
                <w:rFonts w:ascii="Calibri" w:hAnsi="Calibri"/>
                <w:b/>
                <w:color w:val="30A46C"/>
                <w:sz w:val="22"/>
              </w:rPr>
              <w:t>Beat</w:t>
            </w:r>
          </w:p>
        </w:tc>
      </w:tr>
      <w:tr>
        <w:tc>
          <w:tcPr>
            <w:tcW w:type="dxa" w:w="960"/>
          </w:tcPr>
          <w:p>
            <w:r>
              <w:rPr>
                <w:rFonts w:ascii="Calibri" w:hAnsi="Calibri"/>
                <w:sz w:val="22"/>
              </w:rPr>
              <w:t>Q3 2024</w:t>
            </w:r>
          </w:p>
        </w:tc>
        <w:tc>
          <w:tcPr>
            <w:tcW w:type="dxa" w:w="960"/>
          </w:tcPr>
          <w:p>
            <w:r>
              <w:rPr>
                <w:rFonts w:ascii="Calibri" w:hAnsi="Calibri"/>
                <w:sz w:val="22"/>
              </w:rPr>
              <w:t>$1.05</w:t>
            </w:r>
          </w:p>
        </w:tc>
        <w:tc>
          <w:tcPr>
            <w:tcW w:type="dxa" w:w="960"/>
          </w:tcPr>
          <w:p>
            <w:r>
              <w:rPr>
                <w:rFonts w:ascii="Calibri" w:hAnsi="Calibri"/>
                <w:sz w:val="22"/>
              </w:rPr>
              <w:t>$1.044</w:t>
            </w:r>
          </w:p>
        </w:tc>
        <w:tc>
          <w:tcPr>
            <w:tcW w:type="dxa" w:w="960"/>
          </w:tcPr>
          <w:p>
            <w:r>
              <w:rPr>
                <w:rFonts w:ascii="Calibri" w:hAnsi="Calibri"/>
                <w:b/>
                <w:color w:val="30A46C"/>
                <w:sz w:val="22"/>
              </w:rPr>
              <w:t>+0.6%</w:t>
            </w:r>
          </w:p>
        </w:tc>
        <w:tc>
          <w:tcPr>
            <w:tcW w:type="dxa" w:w="960"/>
          </w:tcPr>
          <w:p>
            <w:r>
              <w:rPr>
                <w:rFonts w:ascii="Calibri" w:hAnsi="Calibri"/>
                <w:b/>
                <w:color w:val="30A46C"/>
                <w:sz w:val="22"/>
              </w:rPr>
              <w:t>Beat</w:t>
            </w:r>
          </w:p>
        </w:tc>
        <w:tc>
          <w:tcPr>
            <w:tcW w:type="dxa" w:w="960"/>
          </w:tcPr>
          <w:p>
            <w:r>
              <w:rPr>
                <w:rFonts w:ascii="Calibri" w:hAnsi="Calibri"/>
                <w:sz w:val="22"/>
              </w:rPr>
              <w:t>$1,271.2M</w:t>
            </w:r>
          </w:p>
        </w:tc>
        <w:tc>
          <w:tcPr>
            <w:tcW w:type="dxa" w:w="960"/>
          </w:tcPr>
          <w:p>
            <w:r>
              <w:rPr>
                <w:rFonts w:ascii="Calibri" w:hAnsi="Calibri"/>
                <w:sz w:val="22"/>
              </w:rPr>
              <w:t>$1,277.8M</w:t>
            </w:r>
          </w:p>
        </w:tc>
        <w:tc>
          <w:tcPr>
            <w:tcW w:type="dxa" w:w="960"/>
          </w:tcPr>
          <w:p>
            <w:r>
              <w:rPr>
                <w:rFonts w:ascii="Calibri" w:hAnsi="Calibri"/>
                <w:b/>
                <w:color w:val="E5484D"/>
                <w:sz w:val="22"/>
              </w:rPr>
              <w:t>−0.5%</w:t>
            </w:r>
          </w:p>
        </w:tc>
        <w:tc>
          <w:tcPr>
            <w:tcW w:type="dxa" w:w="960"/>
          </w:tcPr>
          <w:p>
            <w:r>
              <w:rPr>
                <w:rFonts w:ascii="Calibri" w:hAnsi="Calibri"/>
                <w:b/>
                <w:color w:val="E5484D"/>
                <w:sz w:val="22"/>
              </w:rPr>
              <w:t>Miss</w:t>
            </w:r>
          </w:p>
        </w:tc>
      </w:tr>
      <w:tr>
        <w:tc>
          <w:tcPr>
            <w:tcW w:type="dxa" w:w="960"/>
          </w:tcPr>
          <w:p>
            <w:r>
              <w:rPr>
                <w:rFonts w:ascii="Calibri" w:hAnsi="Calibri"/>
                <w:sz w:val="22"/>
              </w:rPr>
              <w:t>Q4 2024</w:t>
            </w:r>
          </w:p>
        </w:tc>
        <w:tc>
          <w:tcPr>
            <w:tcW w:type="dxa" w:w="960"/>
          </w:tcPr>
          <w:p>
            <w:r>
              <w:rPr>
                <w:rFonts w:ascii="Calibri" w:hAnsi="Calibri"/>
                <w:sz w:val="22"/>
              </w:rPr>
              <w:t>$1.05</w:t>
            </w:r>
          </w:p>
        </w:tc>
        <w:tc>
          <w:tcPr>
            <w:tcW w:type="dxa" w:w="960"/>
          </w:tcPr>
          <w:p>
            <w:r>
              <w:rPr>
                <w:rFonts w:ascii="Calibri" w:hAnsi="Calibri"/>
                <w:sz w:val="22"/>
              </w:rPr>
              <w:t>$1.052</w:t>
            </w:r>
          </w:p>
        </w:tc>
        <w:tc>
          <w:tcPr>
            <w:tcW w:type="dxa" w:w="960"/>
          </w:tcPr>
          <w:p>
            <w:r>
              <w:rPr>
                <w:rFonts w:ascii="Calibri" w:hAnsi="Calibri"/>
                <w:b/>
                <w:color w:val="E5484D"/>
                <w:sz w:val="22"/>
              </w:rPr>
              <w:t>−0.2%</w:t>
            </w:r>
          </w:p>
        </w:tc>
        <w:tc>
          <w:tcPr>
            <w:tcW w:type="dxa" w:w="960"/>
          </w:tcPr>
          <w:p>
            <w:r>
              <w:rPr>
                <w:rFonts w:ascii="Calibri" w:hAnsi="Calibri"/>
                <w:b/>
                <w:color w:val="E5484D"/>
                <w:sz w:val="22"/>
              </w:rPr>
              <w:t>Miss</w:t>
            </w:r>
          </w:p>
        </w:tc>
        <w:tc>
          <w:tcPr>
            <w:tcW w:type="dxa" w:w="960"/>
          </w:tcPr>
          <w:p>
            <w:r>
              <w:rPr>
                <w:rFonts w:ascii="Calibri" w:hAnsi="Calibri"/>
                <w:sz w:val="22"/>
              </w:rPr>
              <w:t>$1,279.7M</w:t>
            </w:r>
          </w:p>
        </w:tc>
        <w:tc>
          <w:tcPr>
            <w:tcW w:type="dxa" w:w="960"/>
          </w:tcPr>
          <w:p>
            <w:r>
              <w:rPr>
                <w:rFonts w:ascii="Calibri" w:hAnsi="Calibri"/>
                <w:sz w:val="22"/>
              </w:rPr>
              <w:t>$1,287.5M</w:t>
            </w:r>
          </w:p>
        </w:tc>
        <w:tc>
          <w:tcPr>
            <w:tcW w:type="dxa" w:w="960"/>
          </w:tcPr>
          <w:p>
            <w:r>
              <w:rPr>
                <w:rFonts w:ascii="Calibri" w:hAnsi="Calibri"/>
                <w:b/>
                <w:color w:val="E5484D"/>
                <w:sz w:val="22"/>
              </w:rPr>
              <w:t>−0.6%</w:t>
            </w:r>
          </w:p>
        </w:tc>
        <w:tc>
          <w:tcPr>
            <w:tcW w:type="dxa" w:w="960"/>
          </w:tcPr>
          <w:p>
            <w:r>
              <w:rPr>
                <w:rFonts w:ascii="Calibri" w:hAnsi="Calibri"/>
                <w:b/>
                <w:color w:val="E5484D"/>
                <w:sz w:val="22"/>
              </w:rPr>
              <w:t>Miss</w:t>
            </w:r>
          </w:p>
        </w:tc>
      </w:tr>
      <w:tr>
        <w:tc>
          <w:tcPr>
            <w:tcW w:type="dxa" w:w="960"/>
          </w:tcPr>
          <w:p>
            <w:r>
              <w:rPr>
                <w:rFonts w:ascii="Calibri" w:hAnsi="Calibri"/>
                <w:sz w:val="22"/>
              </w:rPr>
              <w:t>Q1 2025</w:t>
            </w:r>
          </w:p>
        </w:tc>
        <w:tc>
          <w:tcPr>
            <w:tcW w:type="dxa" w:w="960"/>
          </w:tcPr>
          <w:p>
            <w:r>
              <w:rPr>
                <w:rFonts w:ascii="Calibri" w:hAnsi="Calibri"/>
                <w:sz w:val="22"/>
              </w:rPr>
              <w:t>$1.06</w:t>
            </w:r>
          </w:p>
        </w:tc>
        <w:tc>
          <w:tcPr>
            <w:tcW w:type="dxa" w:w="960"/>
          </w:tcPr>
          <w:p>
            <w:r>
              <w:rPr>
                <w:rFonts w:ascii="Calibri" w:hAnsi="Calibri"/>
                <w:sz w:val="22"/>
              </w:rPr>
              <w:t>$1.052</w:t>
            </w:r>
          </w:p>
        </w:tc>
        <w:tc>
          <w:tcPr>
            <w:tcW w:type="dxa" w:w="960"/>
          </w:tcPr>
          <w:p>
            <w:r>
              <w:rPr>
                <w:rFonts w:ascii="Calibri" w:hAnsi="Calibri"/>
                <w:b/>
                <w:color w:val="30A46C"/>
                <w:sz w:val="22"/>
              </w:rPr>
              <w:t>+0.8%</w:t>
            </w:r>
          </w:p>
        </w:tc>
        <w:tc>
          <w:tcPr>
            <w:tcW w:type="dxa" w:w="960"/>
          </w:tcPr>
          <w:p>
            <w:r>
              <w:rPr>
                <w:rFonts w:ascii="Calibri" w:hAnsi="Calibri"/>
                <w:b/>
                <w:color w:val="30A46C"/>
                <w:sz w:val="22"/>
              </w:rPr>
              <w:t>Beat</w:t>
            </w:r>
          </w:p>
        </w:tc>
        <w:tc>
          <w:tcPr>
            <w:tcW w:type="dxa" w:w="960"/>
          </w:tcPr>
          <w:p>
            <w:r>
              <w:rPr>
                <w:rFonts w:ascii="Calibri" w:hAnsi="Calibri"/>
                <w:sz w:val="22"/>
              </w:rPr>
              <w:t>$1,313.1M</w:t>
            </w:r>
          </w:p>
        </w:tc>
        <w:tc>
          <w:tcPr>
            <w:tcW w:type="dxa" w:w="960"/>
          </w:tcPr>
          <w:p>
            <w:r>
              <w:rPr>
                <w:rFonts w:ascii="Calibri" w:hAnsi="Calibri"/>
                <w:sz w:val="22"/>
              </w:rPr>
              <w:t>$1,296.9M</w:t>
            </w:r>
          </w:p>
        </w:tc>
        <w:tc>
          <w:tcPr>
            <w:tcW w:type="dxa" w:w="960"/>
          </w:tcPr>
          <w:p>
            <w:r>
              <w:rPr>
                <w:rFonts w:ascii="Calibri" w:hAnsi="Calibri"/>
                <w:b/>
                <w:color w:val="30A46C"/>
                <w:sz w:val="22"/>
              </w:rPr>
              <w:t>+1.2%</w:t>
            </w:r>
          </w:p>
        </w:tc>
        <w:tc>
          <w:tcPr>
            <w:tcW w:type="dxa" w:w="960"/>
          </w:tcPr>
          <w:p>
            <w:r>
              <w:rPr>
                <w:rFonts w:ascii="Calibri" w:hAnsi="Calibri"/>
                <w:b/>
                <w:color w:val="30A46C"/>
                <w:sz w:val="22"/>
              </w:rPr>
              <w:t>Beat</w:t>
            </w:r>
          </w:p>
        </w:tc>
      </w:tr>
      <w:tr>
        <w:tc>
          <w:tcPr>
            <w:tcW w:type="dxa" w:w="960"/>
          </w:tcPr>
          <w:p>
            <w:r>
              <w:rPr>
                <w:rFonts w:ascii="Calibri" w:hAnsi="Calibri"/>
                <w:sz w:val="22"/>
              </w:rPr>
              <w:t>Q2 2025</w:t>
            </w:r>
          </w:p>
        </w:tc>
        <w:tc>
          <w:tcPr>
            <w:tcW w:type="dxa" w:w="960"/>
          </w:tcPr>
          <w:p>
            <w:r>
              <w:rPr>
                <w:rFonts w:ascii="Calibri" w:hAnsi="Calibri"/>
                <w:sz w:val="22"/>
              </w:rPr>
              <w:t>$1.05</w:t>
            </w:r>
          </w:p>
        </w:tc>
        <w:tc>
          <w:tcPr>
            <w:tcW w:type="dxa" w:w="960"/>
          </w:tcPr>
          <w:p>
            <w:r>
              <w:rPr>
                <w:rFonts w:ascii="Calibri" w:hAnsi="Calibri"/>
                <w:sz w:val="22"/>
              </w:rPr>
              <w:t>$1.058</w:t>
            </w:r>
          </w:p>
        </w:tc>
        <w:tc>
          <w:tcPr>
            <w:tcW w:type="dxa" w:w="960"/>
          </w:tcPr>
          <w:p>
            <w:r>
              <w:rPr>
                <w:rFonts w:ascii="Calibri" w:hAnsi="Calibri"/>
                <w:b/>
                <w:color w:val="E5484D"/>
                <w:sz w:val="22"/>
              </w:rPr>
              <w:t>−0.8%</w:t>
            </w:r>
          </w:p>
        </w:tc>
        <w:tc>
          <w:tcPr>
            <w:tcW w:type="dxa" w:w="960"/>
          </w:tcPr>
          <w:p>
            <w:r>
              <w:rPr>
                <w:rFonts w:ascii="Calibri" w:hAnsi="Calibri"/>
                <w:b/>
                <w:color w:val="E5484D"/>
                <w:sz w:val="22"/>
              </w:rPr>
              <w:t>Miss</w:t>
            </w:r>
          </w:p>
        </w:tc>
        <w:tc>
          <w:tcPr>
            <w:tcW w:type="dxa" w:w="960"/>
          </w:tcPr>
          <w:p>
            <w:r>
              <w:rPr>
                <w:rFonts w:ascii="Calibri" w:hAnsi="Calibri"/>
                <w:sz w:val="22"/>
              </w:rPr>
              <w:t>$1,338.2M</w:t>
            </w:r>
          </w:p>
        </w:tc>
        <w:tc>
          <w:tcPr>
            <w:tcW w:type="dxa" w:w="960"/>
          </w:tcPr>
          <w:p>
            <w:r>
              <w:rPr>
                <w:rFonts w:ascii="Calibri" w:hAnsi="Calibri"/>
                <w:sz w:val="22"/>
              </w:rPr>
              <w:t>$1,319.1M</w:t>
            </w:r>
          </w:p>
        </w:tc>
        <w:tc>
          <w:tcPr>
            <w:tcW w:type="dxa" w:w="960"/>
          </w:tcPr>
          <w:p>
            <w:r>
              <w:rPr>
                <w:rFonts w:ascii="Calibri" w:hAnsi="Calibri"/>
                <w:b/>
                <w:color w:val="30A46C"/>
                <w:sz w:val="22"/>
              </w:rPr>
              <w:t>+1.4%</w:t>
            </w:r>
          </w:p>
        </w:tc>
        <w:tc>
          <w:tcPr>
            <w:tcW w:type="dxa" w:w="960"/>
          </w:tcPr>
          <w:p>
            <w:r>
              <w:rPr>
                <w:rFonts w:ascii="Calibri" w:hAnsi="Calibri"/>
                <w:b/>
                <w:color w:val="30A46C"/>
                <w:sz w:val="22"/>
              </w:rPr>
              <w:t>Beat</w:t>
            </w:r>
          </w:p>
        </w:tc>
      </w:tr>
      <w:tr>
        <w:tc>
          <w:tcPr>
            <w:tcW w:type="dxa" w:w="960"/>
          </w:tcPr>
          <w:p>
            <w:r>
              <w:rPr>
                <w:rFonts w:ascii="Calibri" w:hAnsi="Calibri"/>
                <w:sz w:val="22"/>
              </w:rPr>
              <w:t>Q3 2025</w:t>
            </w:r>
          </w:p>
        </w:tc>
        <w:tc>
          <w:tcPr>
            <w:tcW w:type="dxa" w:w="960"/>
          </w:tcPr>
          <w:p>
            <w:r>
              <w:rPr>
                <w:rFonts w:ascii="Calibri" w:hAnsi="Calibri"/>
                <w:sz w:val="22"/>
              </w:rPr>
              <w:t>$1.08</w:t>
            </w:r>
          </w:p>
        </w:tc>
        <w:tc>
          <w:tcPr>
            <w:tcW w:type="dxa" w:w="960"/>
          </w:tcPr>
          <w:p>
            <w:r>
              <w:rPr>
                <w:rFonts w:ascii="Calibri" w:hAnsi="Calibri"/>
                <w:sz w:val="22"/>
              </w:rPr>
              <w:t>$1.068</w:t>
            </w:r>
          </w:p>
        </w:tc>
        <w:tc>
          <w:tcPr>
            <w:tcW w:type="dxa" w:w="960"/>
          </w:tcPr>
          <w:p>
            <w:r>
              <w:rPr>
                <w:rFonts w:ascii="Calibri" w:hAnsi="Calibri"/>
                <w:b/>
                <w:color w:val="30A46C"/>
                <w:sz w:val="22"/>
              </w:rPr>
              <w:t>+1.1%</w:t>
            </w:r>
          </w:p>
        </w:tc>
        <w:tc>
          <w:tcPr>
            <w:tcW w:type="dxa" w:w="960"/>
          </w:tcPr>
          <w:p>
            <w:r>
              <w:rPr>
                <w:rFonts w:ascii="Calibri" w:hAnsi="Calibri"/>
                <w:b/>
                <w:color w:val="30A46C"/>
                <w:sz w:val="22"/>
              </w:rPr>
              <w:t>Beat</w:t>
            </w:r>
          </w:p>
        </w:tc>
        <w:tc>
          <w:tcPr>
            <w:tcW w:type="dxa" w:w="960"/>
          </w:tcPr>
          <w:p>
            <w:r>
              <w:rPr>
                <w:rFonts w:ascii="Calibri" w:hAnsi="Calibri"/>
                <w:sz w:val="22"/>
              </w:rPr>
              <w:t>$1,386.5M</w:t>
            </w:r>
          </w:p>
        </w:tc>
        <w:tc>
          <w:tcPr>
            <w:tcW w:type="dxa" w:w="960"/>
          </w:tcPr>
          <w:p>
            <w:r>
              <w:rPr>
                <w:rFonts w:ascii="Calibri" w:hAnsi="Calibri"/>
                <w:sz w:val="22"/>
              </w:rPr>
              <w:t>$1,345.8M</w:t>
            </w:r>
          </w:p>
        </w:tc>
        <w:tc>
          <w:tcPr>
            <w:tcW w:type="dxa" w:w="960"/>
          </w:tcPr>
          <w:p>
            <w:r>
              <w:rPr>
                <w:rFonts w:ascii="Calibri" w:hAnsi="Calibri"/>
                <w:b/>
                <w:color w:val="30A46C"/>
                <w:sz w:val="22"/>
              </w:rPr>
              <w:t>+3.0%</w:t>
            </w:r>
          </w:p>
        </w:tc>
        <w:tc>
          <w:tcPr>
            <w:tcW w:type="dxa" w:w="960"/>
          </w:tcPr>
          <w:p>
            <w:r>
              <w:rPr>
                <w:rFonts w:ascii="Calibri" w:hAnsi="Calibri"/>
                <w:b/>
                <w:color w:val="30A46C"/>
                <w:sz w:val="22"/>
              </w:rPr>
              <w:t>Beat</w:t>
            </w:r>
          </w:p>
        </w:tc>
      </w:tr>
      <w:tr>
        <w:tc>
          <w:tcPr>
            <w:tcW w:type="dxa" w:w="960"/>
          </w:tcPr>
          <w:p>
            <w:r>
              <w:rPr>
                <w:rFonts w:ascii="Calibri" w:hAnsi="Calibri"/>
                <w:sz w:val="22"/>
              </w:rPr>
              <w:t>Q4 2025</w:t>
            </w:r>
          </w:p>
        </w:tc>
        <w:tc>
          <w:tcPr>
            <w:tcW w:type="dxa" w:w="960"/>
          </w:tcPr>
          <w:p>
            <w:r>
              <w:rPr>
                <w:rFonts w:ascii="Calibri" w:hAnsi="Calibri"/>
                <w:sz w:val="22"/>
              </w:rPr>
              <w:t>$1.08</w:t>
            </w:r>
          </w:p>
        </w:tc>
        <w:tc>
          <w:tcPr>
            <w:tcW w:type="dxa" w:w="960"/>
          </w:tcPr>
          <w:p>
            <w:r>
              <w:rPr>
                <w:rFonts w:ascii="Calibri" w:hAnsi="Calibri"/>
                <w:sz w:val="22"/>
              </w:rPr>
              <w:t>$1.069</w:t>
            </w:r>
          </w:p>
        </w:tc>
        <w:tc>
          <w:tcPr>
            <w:tcW w:type="dxa" w:w="960"/>
          </w:tcPr>
          <w:p>
            <w:r>
              <w:rPr>
                <w:rFonts w:ascii="Calibri" w:hAnsi="Calibri"/>
                <w:b/>
                <w:color w:val="30A46C"/>
                <w:sz w:val="22"/>
              </w:rPr>
              <w:t>+1.0%</w:t>
            </w:r>
          </w:p>
        </w:tc>
        <w:tc>
          <w:tcPr>
            <w:tcW w:type="dxa" w:w="960"/>
          </w:tcPr>
          <w:p>
            <w:r>
              <w:rPr>
                <w:rFonts w:ascii="Calibri" w:hAnsi="Calibri"/>
                <w:b/>
                <w:color w:val="30A46C"/>
                <w:sz w:val="22"/>
              </w:rPr>
              <w:t>Beat</w:t>
            </w:r>
          </w:p>
        </w:tc>
        <w:tc>
          <w:tcPr>
            <w:tcW w:type="dxa" w:w="960"/>
          </w:tcPr>
          <w:p>
            <w:r>
              <w:rPr>
                <w:rFonts w:ascii="Calibri" w:hAnsi="Calibri"/>
                <w:sz w:val="22"/>
              </w:rPr>
              <w:t>$1,399.6M</w:t>
            </w:r>
          </w:p>
        </w:tc>
        <w:tc>
          <w:tcPr>
            <w:tcW w:type="dxa" w:w="960"/>
          </w:tcPr>
          <w:p>
            <w:r>
              <w:rPr>
                <w:rFonts w:ascii="Calibri" w:hAnsi="Calibri"/>
                <w:sz w:val="22"/>
              </w:rPr>
              <w:t>$1,368.8M</w:t>
            </w:r>
          </w:p>
        </w:tc>
        <w:tc>
          <w:tcPr>
            <w:tcW w:type="dxa" w:w="960"/>
          </w:tcPr>
          <w:p>
            <w:r>
              <w:rPr>
                <w:rFonts w:ascii="Calibri" w:hAnsi="Calibri"/>
                <w:b/>
                <w:color w:val="30A46C"/>
                <w:sz w:val="22"/>
              </w:rPr>
              <w:t>+2.2%</w:t>
            </w:r>
          </w:p>
        </w:tc>
        <w:tc>
          <w:tcPr>
            <w:tcW w:type="dxa" w:w="960"/>
          </w:tcPr>
          <w:p>
            <w:r>
              <w:rPr>
                <w:rFonts w:ascii="Calibri" w:hAnsi="Calibri"/>
                <w:b/>
                <w:color w:val="30A46C"/>
                <w:sz w:val="22"/>
              </w:rPr>
              <w:t>Beat</w:t>
            </w:r>
          </w:p>
        </w:tc>
      </w:tr>
      <w:tr>
        <w:tc>
          <w:tcPr>
            <w:tcW w:type="dxa" w:w="960"/>
          </w:tcPr>
          <w:p>
            <w:r>
              <w:rPr>
                <w:rFonts w:ascii="Calibri" w:hAnsi="Calibri"/>
                <w:sz w:val="22"/>
              </w:rPr>
              <w:t>Q1 2026</w:t>
            </w:r>
          </w:p>
        </w:tc>
        <w:tc>
          <w:tcPr>
            <w:tcW w:type="dxa" w:w="960"/>
          </w:tcPr>
          <w:p>
            <w:r>
              <w:rPr>
                <w:rFonts w:ascii="Calibri" w:hAnsi="Calibri"/>
                <w:sz w:val="22"/>
              </w:rPr>
              <w:t>$1.13</w:t>
            </w:r>
          </w:p>
        </w:tc>
        <w:tc>
          <w:tcPr>
            <w:tcW w:type="dxa" w:w="960"/>
          </w:tcPr>
          <w:p>
            <w:r>
              <w:rPr>
                <w:rFonts w:ascii="Calibri" w:hAnsi="Calibri"/>
                <w:sz w:val="22"/>
              </w:rPr>
              <w:t>$1.089</w:t>
            </w:r>
          </w:p>
        </w:tc>
        <w:tc>
          <w:tcPr>
            <w:tcW w:type="dxa" w:w="960"/>
          </w:tcPr>
          <w:p>
            <w:r>
              <w:rPr>
                <w:rFonts w:ascii="Calibri" w:hAnsi="Calibri"/>
                <w:b/>
                <w:color w:val="30A46C"/>
                <w:sz w:val="22"/>
              </w:rPr>
              <w:t>+3.8%</w:t>
            </w:r>
          </w:p>
        </w:tc>
        <w:tc>
          <w:tcPr>
            <w:tcW w:type="dxa" w:w="960"/>
          </w:tcPr>
          <w:p>
            <w:r>
              <w:rPr>
                <w:rFonts w:ascii="Calibri" w:hAnsi="Calibri"/>
                <w:b/>
                <w:color w:val="30A46C"/>
                <w:sz w:val="22"/>
              </w:rPr>
              <w:t>Beat</w:t>
            </w:r>
          </w:p>
        </w:tc>
        <w:tc>
          <w:tcPr>
            <w:tcW w:type="dxa" w:w="960"/>
          </w:tcPr>
          <w:p>
            <w:r>
              <w:rPr>
                <w:rFonts w:ascii="Calibri" w:hAnsi="Calibri"/>
                <w:sz w:val="22"/>
              </w:rPr>
              <w:t>$1,440.8M</w:t>
            </w:r>
          </w:p>
        </w:tc>
        <w:tc>
          <w:tcPr>
            <w:tcW w:type="dxa" w:w="960"/>
          </w:tcPr>
          <w:p>
            <w:r>
              <w:rPr>
                <w:rFonts w:ascii="Calibri" w:hAnsi="Calibri"/>
                <w:sz w:val="22"/>
              </w:rPr>
              <w:t>$1,401.6M</w:t>
            </w:r>
          </w:p>
        </w:tc>
        <w:tc>
          <w:tcPr>
            <w:tcW w:type="dxa" w:w="960"/>
          </w:tcPr>
          <w:p>
            <w:r>
              <w:rPr>
                <w:rFonts w:ascii="Calibri" w:hAnsi="Calibri"/>
                <w:b/>
                <w:color w:val="30A46C"/>
                <w:sz w:val="22"/>
              </w:rPr>
              <w:t>+2.8%</w:t>
            </w:r>
          </w:p>
        </w:tc>
        <w:tc>
          <w:tcPr>
            <w:tcW w:type="dxa" w:w="96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O has beaten AFFO per share consensus in 6 of the last 8 quarters, with the two misses (Q4 2024, Q2 2025) both narrow (−0.2% and −0.8%); the Q1 2026 beat of +3.8% was the largest in the trailing 8-quarter window, driven by outsized lease termination income — a dynamic unlikely to repeat at the same magnitude in Q2.</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has moved materially higher since Q4 2025 — investment volume raised from $8B to $9.5B and AFFO guidance midpoint raised by $0.025 — and management tone is the most confident it has been in several quarters, anchored by the private capital ecosystem build-out and improved credit visibility.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Call, Feb 24,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AFFO per Share (FY 2026)</w:t>
            </w:r>
          </w:p>
        </w:tc>
        <w:tc>
          <w:tcPr>
            <w:tcW w:type="dxa" w:w="1728"/>
          </w:tcPr>
          <w:p>
            <w:r>
              <w:rPr>
                <w:rFonts w:ascii="Calibri" w:hAnsi="Calibri"/>
                <w:sz w:val="22"/>
              </w:rPr>
              <w:t>$4.38–$4.42</w:t>
            </w:r>
          </w:p>
        </w:tc>
        <w:tc>
          <w:tcPr>
            <w:tcW w:type="dxa" w:w="1728"/>
          </w:tcPr>
          <w:p>
            <w:r>
              <w:rPr>
                <w:rFonts w:ascii="Calibri" w:hAnsi="Calibri"/>
                <w:sz w:val="22"/>
              </w:rPr>
              <w:t>$4.41–$4.44</w:t>
            </w:r>
          </w:p>
        </w:tc>
        <w:tc>
          <w:tcPr>
            <w:tcW w:type="dxa" w:w="1728"/>
          </w:tcPr>
          <w:p>
            <w:r>
              <w:rPr>
                <w:rFonts w:ascii="Calibri" w:hAnsi="Calibri"/>
                <w:sz w:val="22"/>
              </w:rPr>
              <w:t>$4.415</w:t>
            </w:r>
          </w:p>
        </w:tc>
        <w:tc>
          <w:tcPr>
            <w:tcW w:type="dxa" w:w="1728"/>
          </w:tcPr>
          <w:p>
            <w:r>
              <w:rPr>
                <w:rFonts w:ascii="Calibri" w:hAnsi="Calibri"/>
                <w:sz w:val="22"/>
              </w:rPr>
              <w:t>↑ Raised at Q1 2026 earnings (May 6, 2026); midpoint +$0.025 (+60 bps); reflects strong Q1 deployment and improved credit visibility</w:t>
            </w:r>
          </w:p>
        </w:tc>
      </w:tr>
      <w:tr>
        <w:tc>
          <w:tcPr>
            <w:tcW w:type="dxa" w:w="1728"/>
          </w:tcPr>
          <w:p>
            <w:r>
              <w:rPr>
                <w:rFonts w:ascii="Calibri" w:hAnsi="Calibri"/>
                <w:sz w:val="22"/>
              </w:rPr>
              <w:t>Investment Volume (FY 2026)</w:t>
            </w:r>
          </w:p>
        </w:tc>
        <w:tc>
          <w:tcPr>
            <w:tcW w:type="dxa" w:w="1728"/>
          </w:tcPr>
          <w:p>
            <w:r>
              <w:rPr>
                <w:rFonts w:ascii="Calibri" w:hAnsi="Calibri"/>
                <w:sz w:val="22"/>
              </w:rPr>
              <w:t>$8.0B</w:t>
            </w:r>
          </w:p>
        </w:tc>
        <w:tc>
          <w:tcPr>
            <w:tcW w:type="dxa" w:w="1728"/>
          </w:tcPr>
          <w:p>
            <w:r>
              <w:rPr>
                <w:rFonts w:ascii="Calibri" w:hAnsi="Calibri"/>
                <w:sz w:val="22"/>
              </w:rPr>
              <w:t>$9.5B</w:t>
            </w:r>
          </w:p>
        </w:tc>
        <w:tc>
          <w:tcPr>
            <w:tcW w:type="dxa" w:w="1728"/>
          </w:tcPr>
          <w:p>
            <w:r>
              <w:rPr>
                <w:rFonts w:ascii="Calibri" w:hAnsi="Calibri"/>
                <w:sz w:val="22"/>
              </w:rPr>
              <w:t>$7.97B (FY consensus)</w:t>
            </w:r>
          </w:p>
        </w:tc>
        <w:tc>
          <w:tcPr>
            <w:tcW w:type="dxa" w:w="1728"/>
          </w:tcPr>
          <w:p>
            <w:r>
              <w:rPr>
                <w:rFonts w:ascii="Calibri" w:hAnsi="Calibri"/>
                <w:sz w:val="22"/>
              </w:rPr>
              <w:t>↑ Raised at Q1 2026 earnings (May 6, 2026); +$1.5B increase driven by strong pipeline and private capital channels (Apollo, GIC, Core Plus Fund)</w:t>
            </w:r>
          </w:p>
        </w:tc>
      </w:tr>
      <w:tr>
        <w:tc>
          <w:tcPr>
            <w:tcW w:type="dxa" w:w="1728"/>
          </w:tcPr>
          <w:p>
            <w:r>
              <w:rPr>
                <w:rFonts w:ascii="Calibri" w:hAnsi="Calibri"/>
                <w:sz w:val="22"/>
              </w:rPr>
              <w:t>Lease Termination Income (FY 2026)</w:t>
            </w:r>
          </w:p>
        </w:tc>
        <w:tc>
          <w:tcPr>
            <w:tcW w:type="dxa" w:w="1728"/>
          </w:tcPr>
          <w:p>
            <w:r>
              <w:rPr>
                <w:rFonts w:ascii="Calibri" w:hAnsi="Calibri"/>
                <w:sz w:val="22"/>
              </w:rPr>
              <w:t>$30M–$40M</w:t>
            </w:r>
          </w:p>
        </w:tc>
        <w:tc>
          <w:tcPr>
            <w:tcW w:type="dxa" w:w="1728"/>
          </w:tcPr>
          <w:p>
            <w:r>
              <w:rPr>
                <w:rFonts w:ascii="Calibri" w:hAnsi="Calibri"/>
                <w:sz w:val="22"/>
              </w:rPr>
              <w:t>$45M–$50M</w:t>
            </w:r>
          </w:p>
        </w:tc>
        <w:tc>
          <w:tcPr>
            <w:tcW w:type="dxa" w:w="1728"/>
          </w:tcPr>
          <w:p>
            <w:r>
              <w:rPr>
                <w:rFonts w:ascii="Calibri" w:hAnsi="Calibri"/>
                <w:sz w:val="22"/>
              </w:rPr>
              <w:t>N/A — not tracked in VA</w:t>
            </w:r>
          </w:p>
        </w:tc>
        <w:tc>
          <w:tcPr>
            <w:tcW w:type="dxa" w:w="1728"/>
          </w:tcPr>
          <w:p>
            <w:r>
              <w:rPr>
                <w:rFonts w:ascii="Calibri" w:hAnsi="Calibri"/>
                <w:sz w:val="22"/>
              </w:rPr>
              <w:t>↑ Raised at Q1 2026 earnings (May 6, 2026); Q1 alone generated $40.2M; management flagged as episodic, not a new run-rate</w:t>
            </w:r>
          </w:p>
        </w:tc>
      </w:tr>
      <w:tr>
        <w:tc>
          <w:tcPr>
            <w:tcW w:type="dxa" w:w="1728"/>
          </w:tcPr>
          <w:p>
            <w:r>
              <w:rPr>
                <w:rFonts w:ascii="Calibri" w:hAnsi="Calibri"/>
                <w:sz w:val="22"/>
              </w:rPr>
              <w:t>Credit Loss (FY 2026)</w:t>
            </w:r>
          </w:p>
        </w:tc>
        <w:tc>
          <w:tcPr>
            <w:tcW w:type="dxa" w:w="1728"/>
          </w:tcPr>
          <w:p>
            <w:r>
              <w:rPr>
                <w:rFonts w:ascii="Calibri" w:hAnsi="Calibri"/>
                <w:sz w:val="22"/>
              </w:rPr>
              <w:t>40–50 bps of revenue</w:t>
            </w:r>
          </w:p>
        </w:tc>
        <w:tc>
          <w:tcPr>
            <w:tcW w:type="dxa" w:w="1728"/>
          </w:tcPr>
          <w:p>
            <w:r>
              <w:rPr>
                <w:rFonts w:ascii="Calibri" w:hAnsi="Calibri"/>
                <w:sz w:val="22"/>
              </w:rPr>
              <w:t>~40 bps of revenue</w:t>
            </w:r>
          </w:p>
        </w:tc>
        <w:tc>
          <w:tcPr>
            <w:tcW w:type="dxa" w:w="1728"/>
          </w:tcPr>
          <w:p>
            <w:r>
              <w:rPr>
                <w:rFonts w:ascii="Calibri" w:hAnsi="Calibri"/>
                <w:sz w:val="22"/>
              </w:rPr>
              <w:t>N/A — not tracked in VA</w:t>
            </w:r>
          </w:p>
        </w:tc>
        <w:tc>
          <w:tcPr>
            <w:tcW w:type="dxa" w:w="1728"/>
          </w:tcPr>
          <w:p>
            <w:r>
              <w:rPr>
                <w:rFonts w:ascii="Calibri" w:hAnsi="Calibri"/>
                <w:sz w:val="22"/>
              </w:rPr>
              <w:t>↓ Lowered at Q1 2026 earnings (May 6, 2026); improved portfolio visibility; prior guidance was 40–50 bps, now guided to ~40 bps</w:t>
            </w:r>
          </w:p>
        </w:tc>
      </w:tr>
      <w:tr>
        <w:tc>
          <w:tcPr>
            <w:tcW w:type="dxa" w:w="1728"/>
          </w:tcPr>
          <w:p>
            <w:r>
              <w:rPr>
                <w:rFonts w:ascii="Calibri" w:hAnsi="Calibri"/>
                <w:sz w:val="22"/>
              </w:rPr>
              <w:t>Occupancy Rate (FY 2026)</w:t>
            </w:r>
          </w:p>
        </w:tc>
        <w:tc>
          <w:tcPr>
            <w:tcW w:type="dxa" w:w="1728"/>
          </w:tcPr>
          <w:p>
            <w:r>
              <w:rPr>
                <w:rFonts w:ascii="Calibri" w:hAnsi="Calibri"/>
                <w:sz w:val="22"/>
              </w:rPr>
              <w:t>~98.5%</w:t>
            </w:r>
          </w:p>
        </w:tc>
        <w:tc>
          <w:tcPr>
            <w:tcW w:type="dxa" w:w="1728"/>
          </w:tcPr>
          <w:p>
            <w:r>
              <w:rPr>
                <w:rFonts w:ascii="Calibri" w:hAnsi="Calibri"/>
                <w:sz w:val="22"/>
              </w:rPr>
              <w:t>— (unchanged)</w:t>
            </w:r>
          </w:p>
        </w:tc>
        <w:tc>
          <w:tcPr>
            <w:tcW w:type="dxa" w:w="1728"/>
          </w:tcPr>
          <w:p>
            <w:r>
              <w:rPr>
                <w:rFonts w:ascii="Calibri" w:hAnsi="Calibri"/>
                <w:sz w:val="22"/>
              </w:rPr>
              <w:t>98.8%</w:t>
            </w:r>
          </w:p>
        </w:tc>
        <w:tc>
          <w:tcPr>
            <w:tcW w:type="dxa" w:w="1728"/>
          </w:tcPr>
          <w:p>
            <w:r>
              <w:rPr>
                <w:rFonts w:ascii="Calibri" w:hAnsi="Calibri"/>
                <w:sz w:val="22"/>
              </w:rPr>
              <w:t>Unchanged; consensus tracking above guidance floor</w:t>
            </w:r>
          </w:p>
        </w:tc>
      </w:tr>
      <w:tr>
        <w:tc>
          <w:tcPr>
            <w:tcW w:type="dxa" w:w="1728"/>
          </w:tcPr>
          <w:p>
            <w:r>
              <w:rPr>
                <w:rFonts w:ascii="Calibri" w:hAnsi="Calibri"/>
                <w:sz w:val="22"/>
              </w:rPr>
              <w:t>Same-Store NOI Growth (FY 2026)</w:t>
            </w:r>
          </w:p>
        </w:tc>
        <w:tc>
          <w:tcPr>
            <w:tcW w:type="dxa" w:w="1728"/>
          </w:tcPr>
          <w:p>
            <w:r>
              <w:rPr>
                <w:rFonts w:ascii="Calibri" w:hAnsi="Calibri"/>
                <w:sz w:val="22"/>
              </w:rPr>
              <w:t>1.0%–1.3%</w:t>
            </w:r>
          </w:p>
        </w:tc>
        <w:tc>
          <w:tcPr>
            <w:tcW w:type="dxa" w:w="1728"/>
          </w:tcPr>
          <w:p>
            <w:r>
              <w:rPr>
                <w:rFonts w:ascii="Calibri" w:hAnsi="Calibri"/>
                <w:sz w:val="22"/>
              </w:rPr>
              <w:t>— (unchanged)</w:t>
            </w:r>
          </w:p>
        </w:tc>
        <w:tc>
          <w:tcPr>
            <w:tcW w:type="dxa" w:w="1728"/>
          </w:tcPr>
          <w:p>
            <w:r>
              <w:rPr>
                <w:rFonts w:ascii="Calibri" w:hAnsi="Calibri"/>
                <w:sz w:val="22"/>
              </w:rPr>
              <w:t>~1.34%</w:t>
            </w:r>
          </w:p>
        </w:tc>
        <w:tc>
          <w:tcPr>
            <w:tcW w:type="dxa" w:w="1728"/>
          </w:tcPr>
          <w:p>
            <w:r>
              <w:rPr>
                <w:rFonts w:ascii="Calibri" w:hAnsi="Calibri"/>
                <w:sz w:val="22"/>
              </w:rPr>
              <w:t>Unchanged; consensus at top of guidance range</w:t>
            </w:r>
          </w:p>
        </w:tc>
      </w:tr>
    </w:tbl>
    <w:p>
      <w:r>
        <w:rPr>
          <w:rFonts w:ascii="Calibri" w:hAnsi="Calibri"/>
          <w:color w:val="525866"/>
          <w:sz w:val="22"/>
        </w:rPr>
        <w:t xml:space="preserve">Management tone on the Q1 2026 call was the most constructive in recent memory: the private capital ecosystem (three non-overlapping vehicles), the $9.5B investment volume raise, and the lowered credit loss assumption all signal management's confidence in the platform's ability to sustain above-trend growth. The one cautionary note was the explicit framing of lease termination income as </w:t>
      </w:r>
      <w:r>
        <w:rPr>
          <w:rFonts w:ascii="Calibri" w:hAnsi="Calibri"/>
          <w:b/>
          <w:color w:val="525866"/>
          <w:sz w:val="22"/>
        </w:rPr>
        <w:t>episodic and M&amp;A-cleanup-driven</w:t>
      </w:r>
      <w:r>
        <w:rPr>
          <w:rFonts w:ascii="Calibri" w:hAnsi="Calibri"/>
          <w:color w:val="525866"/>
          <w:sz w:val="22"/>
        </w:rPr>
        <w:t>, not a new recurring run-rate — a signal that Q2 and beyond will likely see a meaningful step-down from Q1's $40.2M.</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moved higher since the Q1 print, tracking guidance direction but not fully closing the gap to the guidance midpoint — FY 2026 AFFO consensus is +$0.027 above the post-print baseline but still $0.010 below the guidance midpoint, suggesting modest upside cushion if management delivers on the raised investment volume target.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Print, ~May 13,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Call)</w:t>
            </w:r>
          </w:p>
        </w:tc>
        <w:tc>
          <w:tcPr>
            <w:tcW w:type="dxa" w:w="1080"/>
            <w:shd w:val="clear" w:color="auto" w:fill="3B4259"/>
          </w:tcPr>
          <w:p>
            <w:r>
              <w:rPr>
                <w:rFonts w:ascii="Calibri" w:hAnsi="Calibri"/>
                <w:b/>
                <w:color w:val="FFFFFF"/>
                <w:sz w:val="22"/>
              </w:rPr>
              <w:t>Current Guidance (Q1 2026 Call)</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AFFO/Share (Q2 2026)</w:t>
            </w:r>
          </w:p>
        </w:tc>
        <w:tc>
          <w:tcPr>
            <w:tcW w:type="dxa" w:w="1080"/>
          </w:tcPr>
          <w:p>
            <w:r>
              <w:rPr>
                <w:rFonts w:ascii="Calibri" w:hAnsi="Calibri"/>
                <w:sz w:val="22"/>
              </w:rPr>
              <w:t>$1.081</w:t>
            </w:r>
          </w:p>
        </w:tc>
        <w:tc>
          <w:tcPr>
            <w:tcW w:type="dxa" w:w="1080"/>
          </w:tcPr>
          <w:p>
            <w:r>
              <w:rPr>
                <w:rFonts w:ascii="Calibri" w:hAnsi="Calibri"/>
                <w:sz w:val="22"/>
              </w:rPr>
              <w:t>$1.086</w:t>
            </w:r>
          </w:p>
        </w:tc>
        <w:tc>
          <w:tcPr>
            <w:tcW w:type="dxa" w:w="1080"/>
          </w:tcPr>
          <w:p>
            <w:r>
              <w:rPr>
                <w:rFonts w:ascii="Calibri" w:hAnsi="Calibri"/>
                <w:sz w:val="22"/>
              </w:rPr>
              <w:t>+0.5%</w:t>
            </w:r>
          </w:p>
        </w:tc>
        <w:tc>
          <w:tcPr>
            <w:tcW w:type="dxa" w:w="1080"/>
          </w:tcPr>
          <w:p>
            <w:r>
              <w:rPr>
                <w:rFonts w:ascii="Calibri" w:hAnsi="Calibri"/>
                <w:sz w:val="22"/>
              </w:rPr>
              <w:t>N/A — no quarterly guidance</w:t>
            </w:r>
          </w:p>
        </w:tc>
        <w:tc>
          <w:tcPr>
            <w:tcW w:type="dxa" w:w="1080"/>
          </w:tcPr>
          <w:p>
            <w:r>
              <w:rPr>
                <w:rFonts w:ascii="Calibri" w:hAnsi="Calibri"/>
                <w:sz w:val="22"/>
              </w:rPr>
              <w:t>N/A — 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AFFO/Share (FY 2026)</w:t>
            </w:r>
          </w:p>
        </w:tc>
        <w:tc>
          <w:tcPr>
            <w:tcW w:type="dxa" w:w="1080"/>
          </w:tcPr>
          <w:p>
            <w:r>
              <w:rPr>
                <w:rFonts w:ascii="Calibri" w:hAnsi="Calibri"/>
                <w:sz w:val="22"/>
              </w:rPr>
              <w:t>$4.388</w:t>
            </w:r>
          </w:p>
        </w:tc>
        <w:tc>
          <w:tcPr>
            <w:tcW w:type="dxa" w:w="1080"/>
          </w:tcPr>
          <w:p>
            <w:r>
              <w:rPr>
                <w:rFonts w:ascii="Calibri" w:hAnsi="Calibri"/>
                <w:sz w:val="22"/>
              </w:rPr>
              <w:t>$4.415</w:t>
            </w:r>
          </w:p>
        </w:tc>
        <w:tc>
          <w:tcPr>
            <w:tcW w:type="dxa" w:w="1080"/>
          </w:tcPr>
          <w:p>
            <w:r>
              <w:rPr>
                <w:rFonts w:ascii="Calibri" w:hAnsi="Calibri"/>
                <w:sz w:val="22"/>
              </w:rPr>
              <w:t>+0.6%</w:t>
            </w:r>
          </w:p>
        </w:tc>
        <w:tc>
          <w:tcPr>
            <w:tcW w:type="dxa" w:w="1080"/>
          </w:tcPr>
          <w:p>
            <w:r>
              <w:rPr>
                <w:rFonts w:ascii="Calibri" w:hAnsi="Calibri"/>
                <w:sz w:val="22"/>
              </w:rPr>
              <w:t>$4.38–$4.42 (mid: $4.40)</w:t>
            </w:r>
          </w:p>
        </w:tc>
        <w:tc>
          <w:tcPr>
            <w:tcW w:type="dxa" w:w="1080"/>
          </w:tcPr>
          <w:p>
            <w:r>
              <w:rPr>
                <w:rFonts w:ascii="Calibri" w:hAnsi="Calibri"/>
                <w:sz w:val="22"/>
              </w:rPr>
              <w:t>$4.41–$4.44 (mid: $4.425)</w:t>
            </w:r>
          </w:p>
        </w:tc>
        <w:tc>
          <w:tcPr>
            <w:tcW w:type="dxa" w:w="1080"/>
          </w:tcPr>
          <w:p>
            <w:r>
              <w:rPr>
                <w:rFonts w:ascii="Calibri" w:hAnsi="Calibri"/>
                <w:sz w:val="22"/>
              </w:rPr>
              <w:t>+$0.025 (+0.6%)</w:t>
            </w:r>
          </w:p>
        </w:tc>
        <w:tc>
          <w:tcPr>
            <w:tcW w:type="dxa" w:w="1080"/>
          </w:tcPr>
          <w:p>
            <w:r>
              <w:rPr>
                <w:rFonts w:ascii="Calibri" w:hAnsi="Calibri"/>
                <w:sz w:val="22"/>
              </w:rPr>
              <w:t>−0.2% below midpoint</w:t>
            </w:r>
          </w:p>
        </w:tc>
      </w:tr>
      <w:tr>
        <w:tc>
          <w:tcPr>
            <w:tcW w:type="dxa" w:w="1080"/>
          </w:tcPr>
          <w:p>
            <w:r>
              <w:rPr>
                <w:rFonts w:ascii="Calibri" w:hAnsi="Calibri"/>
                <w:sz w:val="22"/>
              </w:rPr>
              <w:t>Rental Revenue (Q2 2026)</w:t>
            </w:r>
          </w:p>
        </w:tc>
        <w:tc>
          <w:tcPr>
            <w:tcW w:type="dxa" w:w="1080"/>
          </w:tcPr>
          <w:p>
            <w:r>
              <w:rPr>
                <w:rFonts w:ascii="Calibri" w:hAnsi="Calibri"/>
                <w:sz w:val="22"/>
              </w:rPr>
              <w:t>$1,419.5M</w:t>
            </w:r>
          </w:p>
        </w:tc>
        <w:tc>
          <w:tcPr>
            <w:tcW w:type="dxa" w:w="1080"/>
          </w:tcPr>
          <w:p>
            <w:r>
              <w:rPr>
                <w:rFonts w:ascii="Calibri" w:hAnsi="Calibri"/>
                <w:sz w:val="22"/>
              </w:rPr>
              <w:t>$1,426.3M</w:t>
            </w:r>
          </w:p>
        </w:tc>
        <w:tc>
          <w:tcPr>
            <w:tcW w:type="dxa" w:w="1080"/>
          </w:tcPr>
          <w:p>
            <w:r>
              <w:rPr>
                <w:rFonts w:ascii="Calibri" w:hAnsi="Calibri"/>
                <w:sz w:val="22"/>
              </w:rPr>
              <w:t>+0.5%</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Rental Revenue (FY 2026)</w:t>
            </w:r>
          </w:p>
        </w:tc>
        <w:tc>
          <w:tcPr>
            <w:tcW w:type="dxa" w:w="1080"/>
          </w:tcPr>
          <w:p>
            <w:r>
              <w:rPr>
                <w:rFonts w:ascii="Calibri" w:hAnsi="Calibri"/>
                <w:sz w:val="22"/>
              </w:rPr>
              <w:t>$5,746.3M</w:t>
            </w:r>
          </w:p>
        </w:tc>
        <w:tc>
          <w:tcPr>
            <w:tcW w:type="dxa" w:w="1080"/>
          </w:tcPr>
          <w:p>
            <w:r>
              <w:rPr>
                <w:rFonts w:ascii="Calibri" w:hAnsi="Calibri"/>
                <w:sz w:val="22"/>
              </w:rPr>
              <w:t>$5,763.7M</w:t>
            </w:r>
          </w:p>
        </w:tc>
        <w:tc>
          <w:tcPr>
            <w:tcW w:type="dxa" w:w="1080"/>
          </w:tcPr>
          <w:p>
            <w:r>
              <w:rPr>
                <w:rFonts w:ascii="Calibri" w:hAnsi="Calibri"/>
                <w:sz w:val="22"/>
              </w:rPr>
              <w:t>+0.3%</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NOI (Q2 2026)</w:t>
            </w:r>
          </w:p>
        </w:tc>
        <w:tc>
          <w:tcPr>
            <w:tcW w:type="dxa" w:w="1080"/>
          </w:tcPr>
          <w:p>
            <w:r>
              <w:rPr>
                <w:rFonts w:ascii="Calibri" w:hAnsi="Calibri"/>
                <w:sz w:val="22"/>
              </w:rPr>
              <w:t>$1,326.6M</w:t>
            </w:r>
          </w:p>
        </w:tc>
        <w:tc>
          <w:tcPr>
            <w:tcW w:type="dxa" w:w="1080"/>
          </w:tcPr>
          <w:p>
            <w:r>
              <w:rPr>
                <w:rFonts w:ascii="Calibri" w:hAnsi="Calibri"/>
                <w:sz w:val="22"/>
              </w:rPr>
              <w:t>$1,335.7M</w:t>
            </w:r>
          </w:p>
        </w:tc>
        <w:tc>
          <w:tcPr>
            <w:tcW w:type="dxa" w:w="1080"/>
          </w:tcPr>
          <w:p>
            <w:r>
              <w:rPr>
                <w:rFonts w:ascii="Calibri" w:hAnsi="Calibri"/>
                <w:sz w:val="22"/>
              </w:rPr>
              <w:t>+0.7%</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Investment Volume (Q2 2026)</w:t>
            </w:r>
          </w:p>
        </w:tc>
        <w:tc>
          <w:tcPr>
            <w:tcW w:type="dxa" w:w="1080"/>
          </w:tcPr>
          <w:p>
            <w:r>
              <w:rPr>
                <w:rFonts w:ascii="Calibri" w:hAnsi="Calibri"/>
                <w:sz w:val="22"/>
              </w:rPr>
              <w:t>$1,916.7M</w:t>
            </w:r>
          </w:p>
        </w:tc>
        <w:tc>
          <w:tcPr>
            <w:tcW w:type="dxa" w:w="1080"/>
          </w:tcPr>
          <w:p>
            <w:r>
              <w:rPr>
                <w:rFonts w:ascii="Calibri" w:hAnsi="Calibri"/>
                <w:sz w:val="22"/>
              </w:rPr>
              <w:t>$1,964.2M</w:t>
            </w:r>
          </w:p>
        </w:tc>
        <w:tc>
          <w:tcPr>
            <w:tcW w:type="dxa" w:w="1080"/>
          </w:tcPr>
          <w:p>
            <w:r>
              <w:rPr>
                <w:rFonts w:ascii="Calibri" w:hAnsi="Calibri"/>
                <w:sz w:val="22"/>
              </w:rPr>
              <w:t>+2.5%</w:t>
            </w:r>
          </w:p>
        </w:tc>
        <w:tc>
          <w:tcPr>
            <w:tcW w:type="dxa" w:w="1080"/>
          </w:tcPr>
          <w:p>
            <w:r>
              <w:rPr>
                <w:rFonts w:ascii="Calibri" w:hAnsi="Calibri"/>
                <w:sz w:val="22"/>
              </w:rPr>
              <w:t>N/A</w:t>
            </w:r>
          </w:p>
        </w:tc>
        <w:tc>
          <w:tcPr>
            <w:tcW w:type="dxa" w:w="1080"/>
          </w:tcPr>
          <w:p>
            <w:r>
              <w:rPr>
                <w:rFonts w:ascii="Calibri" w:hAnsi="Calibri"/>
                <w:sz w:val="22"/>
              </w:rPr>
              <w:t>$9.5B (FY)</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Source: Visible Alpha. Post-print baseline uses consensus as of May 11, 2026 (5 trading days after Q1 2026 earnings on May 6, 2026). Estimates have drifted modestly higher across all KPIs since the Q1 print, consistent with the guidance raise. The FY 2026 AFFO consensus of $4.415 remains $0.010 below the guidance midpoint of $4.425, implying the Street has not fully credited the raised guidance — a potential source of upside if Q2 investment volume and AFFO track the new $9.5B deployment pace.</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O has </w:t>
      </w:r>
      <w:r>
        <w:rPr>
          <w:rFonts w:ascii="Calibri" w:hAnsi="Calibri"/>
          <w:b/>
          <w:color w:val="525866"/>
          <w:sz w:val="22"/>
        </w:rPr>
        <w:t>underperformed both VNQ (+1.9%) and the S&amp;P 500 (+5.1%)</w:t>
      </w:r>
      <w:r>
        <w:rPr>
          <w:rFonts w:ascii="Calibri" w:hAnsi="Calibri"/>
          <w:color w:val="525866"/>
          <w:sz w:val="22"/>
        </w:rPr>
        <w:t xml:space="preserve"> since the Q1 2026 print on May 6, 2026, declining ~2% to ~$62.90 as of August 5, 2026 — the underperformance appears sentiment- and rate-driven rather than fundamental, as the raised guidance and strong Q1 beat did not translate into multiple expansion, leaving the stock at a discount to historical P/AFFO averages.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O vs. VNQ (REIT ETF) vs. SPY (S&amp;P 500) — Indexed to 100 at Q1 2026 Earnings Date (May 6, 2026). Source: Yahoo Finance.</w:t>
      </w:r>
    </w:p>
    <w:p>
      <w:r>
        <w:rPr>
          <w:rFonts w:ascii="Calibri" w:hAnsi="Calibri"/>
          <w:color w:val="525866"/>
          <w:sz w:val="22"/>
        </w:rPr>
        <w:t>O opened the post-earnings period at $64.01 on May 6, 2026 and has drifted lower to ~$62.90 by August 5, 2026 (−1.7%), while VNQ gained +1.9% and SPY gained +5.1% over the same period. The underperformance is notable given the Q1 beat and guidance raise — it suggests the market is discounting the raised investment volume guidance (skepticism around $9.5B deployment) and/or pricing in rate headwinds from the elevated 10-year Treasury environment. The stock's forward P/AFFO of ~12.5–13.8x remains below the retail REIT sector average of ~14–15x, suggesting valuation is not stretched and the setup is asymmetric to the upside if Q2 investment volume confirms the $9.5B pace. No material analyst rating changes were identified in the post-earnings window.</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post-earnings development is the </w:t>
      </w:r>
      <w:r>
        <w:rPr>
          <w:rFonts w:ascii="Calibri" w:hAnsi="Calibri"/>
          <w:b/>
          <w:color w:val="525866"/>
          <w:sz w:val="22"/>
        </w:rPr>
        <w:t>July 10, 2026 credit facility upsizing to $5.5B</w:t>
      </w:r>
      <w:r>
        <w:rPr>
          <w:rFonts w:ascii="Calibri" w:hAnsi="Calibri"/>
          <w:color w:val="525866"/>
          <w:sz w:val="22"/>
        </w:rPr>
        <w:t xml:space="preserve"> (from $4.0B), which alongside the €600M Euro bond offering and refreshed ATM program signals aggressive balance sheet preparation for the $9.5B investment volume target — a strong read-through for Q2 deployment activity.</w:t>
      </w:r>
    </w:p>
    <w:p>
      <w:pPr>
        <w:pStyle w:val="ListBullet"/>
        <w:ind w:left="360" w:hanging="360"/>
      </w:pPr>
      <w:r>
        <w:rPr>
          <w:rFonts w:ascii="Calibri" w:hAnsi="Calibri"/>
          <w:b/>
          <w:color w:val="525866"/>
          <w:sz w:val="22"/>
        </w:rPr>
        <w:t xml:space="preserve">July 13, 2026 — </w:t>
      </w:r>
      <w:r>
        <w:rPr>
          <w:rFonts w:ascii="Calibri" w:hAnsi="Calibri"/>
          <w:b/>
          <w:color w:val="525866"/>
          <w:sz w:val="22"/>
        </w:rPr>
        <w:t xml:space="preserve">Credit Facility Upsized to $5.5B: </w:t>
      </w:r>
      <w:r>
        <w:rPr>
          <w:rFonts w:ascii="Calibri" w:hAnsi="Calibri"/>
          <w:color w:val="525866"/>
          <w:sz w:val="22"/>
        </w:rPr>
        <w:t xml:space="preserve">Realty Income entered into a Fifth Amended and Restated Credit Agreement, increasing its unsecured multicurrency revolving credit facility from $4.0B to $5.5B (two $2.75B tranches maturing April 2029 and July 2030), with an accordion feature to $6.5B. Commercial paper programs also doubled to $2.75B each (USD and Euro). </w:t>
      </w:r>
      <w:r>
        <w:rPr>
          <w:rFonts w:ascii="Calibri" w:hAnsi="Calibri"/>
          <w:b/>
          <w:color w:val="525866"/>
          <w:sz w:val="22"/>
        </w:rPr>
        <w:t xml:space="preserve">Implication: </w:t>
      </w:r>
      <w:r>
        <w:rPr>
          <w:rFonts w:ascii="Calibri" w:hAnsi="Calibri"/>
          <w:color w:val="525866"/>
          <w:sz w:val="22"/>
        </w:rPr>
        <w:t>Signals management's confidence in sustaining the $9.5B investment volume pace and provides ample dry powder for Q2 and H2 2026 deployment.</w:t>
      </w:r>
    </w:p>
    <w:p>
      <w:pPr>
        <w:pStyle w:val="ListBullet"/>
        <w:ind w:left="360" w:hanging="360"/>
      </w:pPr>
      <w:r>
        <w:rPr>
          <w:rFonts w:ascii="Calibri" w:hAnsi="Calibri"/>
          <w:b/>
          <w:color w:val="525866"/>
          <w:sz w:val="22"/>
        </w:rPr>
        <w:t xml:space="preserve">July 7, 2026 — </w:t>
      </w:r>
      <w:r>
        <w:rPr>
          <w:rFonts w:ascii="Calibri" w:hAnsi="Calibri"/>
          <w:b/>
          <w:color w:val="525866"/>
          <w:sz w:val="22"/>
        </w:rPr>
        <w:t xml:space="preserve">€600M Euro Bond Offering Closed: </w:t>
      </w:r>
      <w:r>
        <w:rPr>
          <w:rFonts w:ascii="Calibri" w:hAnsi="Calibri"/>
          <w:color w:val="525866"/>
          <w:sz w:val="22"/>
        </w:rPr>
        <w:t xml:space="preserve">Realty Income closed a €600M offering of 3.625% Notes due 2032, priced June 29, 2026. Euro-denominated debt is priced ~100 bps inside comparable U.S. dollar debt, consistent with management's European financing strategy. </w:t>
      </w:r>
      <w:r>
        <w:rPr>
          <w:rFonts w:ascii="Calibri" w:hAnsi="Calibri"/>
          <w:b/>
          <w:color w:val="525866"/>
          <w:sz w:val="22"/>
        </w:rPr>
        <w:t xml:space="preserve">Implication: </w:t>
      </w:r>
      <w:r>
        <w:rPr>
          <w:rFonts w:ascii="Calibri" w:hAnsi="Calibri"/>
          <w:color w:val="525866"/>
          <w:sz w:val="22"/>
        </w:rPr>
        <w:t>Lowers blended cost of debt and supports European investment activity, which was 50% of Q1 2026 deployment.</w:t>
      </w:r>
    </w:p>
    <w:p>
      <w:pPr>
        <w:pStyle w:val="ListBullet"/>
        <w:ind w:left="360" w:hanging="360"/>
      </w:pPr>
      <w:r>
        <w:rPr>
          <w:rFonts w:ascii="Calibri" w:hAnsi="Calibri"/>
          <w:b/>
          <w:color w:val="525866"/>
          <w:sz w:val="22"/>
        </w:rPr>
        <w:t xml:space="preserve">June 29, 2026 — </w:t>
      </w:r>
      <w:r>
        <w:rPr>
          <w:rFonts w:ascii="Calibri" w:hAnsi="Calibri"/>
          <w:b/>
          <w:color w:val="525866"/>
          <w:sz w:val="22"/>
        </w:rPr>
        <w:t xml:space="preserve">Liquidity Update — ~$4.0B Available: </w:t>
      </w:r>
      <w:r>
        <w:rPr>
          <w:rFonts w:ascii="Calibri" w:hAnsi="Calibri"/>
          <w:color w:val="525866"/>
          <w:sz w:val="22"/>
        </w:rPr>
        <w:t xml:space="preserve">Realty Income reported total pro-rata liquidity of ~$4.0B as of June 25, 2026, comprising $242M cash, $3.47B credit facility availability, and $2.06B unsettled ATM forwards, less $1.76B commercial paper borrowings. </w:t>
      </w:r>
      <w:r>
        <w:rPr>
          <w:rFonts w:ascii="Calibri" w:hAnsi="Calibri"/>
          <w:b/>
          <w:color w:val="525866"/>
          <w:sz w:val="22"/>
        </w:rPr>
        <w:t xml:space="preserve">Implication: </w:t>
      </w:r>
      <w:r>
        <w:rPr>
          <w:rFonts w:ascii="Calibri" w:hAnsi="Calibri"/>
          <w:color w:val="525866"/>
          <w:sz w:val="22"/>
        </w:rPr>
        <w:t>Robust liquidity confirms the company is well-positioned to fund the $9.5B investment volume target without equity dilution pressure.</w:t>
      </w:r>
    </w:p>
    <w:p>
      <w:pPr>
        <w:pStyle w:val="ListBullet"/>
        <w:ind w:left="360" w:hanging="360"/>
      </w:pPr>
      <w:r>
        <w:rPr>
          <w:rFonts w:ascii="Calibri" w:hAnsi="Calibri"/>
          <w:b/>
          <w:color w:val="525866"/>
          <w:sz w:val="22"/>
        </w:rPr>
        <w:t xml:space="preserve">May 7, 2026 — </w:t>
      </w:r>
      <w:r>
        <w:rPr>
          <w:rFonts w:ascii="Calibri" w:hAnsi="Calibri"/>
          <w:b/>
          <w:color w:val="525866"/>
          <w:sz w:val="22"/>
        </w:rPr>
        <w:t xml:space="preserve">New 150M-Share ATM Equity Program Established: </w:t>
      </w:r>
      <w:r>
        <w:rPr>
          <w:rFonts w:ascii="Calibri" w:hAnsi="Calibri"/>
          <w:color w:val="525866"/>
          <w:sz w:val="22"/>
        </w:rPr>
        <w:t xml:space="preserve">Realty Income refreshed its at-the-market equity program for up to 150M shares (replacing the prior program under which ~19.9M shares were sold). Includes both direct and forward sale structures. </w:t>
      </w:r>
      <w:r>
        <w:rPr>
          <w:rFonts w:ascii="Calibri" w:hAnsi="Calibri"/>
          <w:b/>
          <w:color w:val="525866"/>
          <w:sz w:val="22"/>
        </w:rPr>
        <w:t xml:space="preserve">Implication: </w:t>
      </w:r>
      <w:r>
        <w:rPr>
          <w:rFonts w:ascii="Calibri" w:hAnsi="Calibri"/>
          <w:color w:val="525866"/>
          <w:sz w:val="22"/>
        </w:rPr>
        <w:t>Provides flexible equity capital access to fund the two-thirds equity / one-third debt capital structure target without forced block deals.</w:t>
      </w:r>
    </w:p>
    <w:p>
      <w:pPr>
        <w:pStyle w:val="ListBullet"/>
        <w:ind w:left="360" w:hanging="360"/>
      </w:pPr>
      <w:r>
        <w:rPr>
          <w:rFonts w:ascii="Calibri" w:hAnsi="Calibri"/>
          <w:b/>
          <w:color w:val="525866"/>
          <w:sz w:val="22"/>
        </w:rPr>
        <w:t xml:space="preserve">April 7, 2026 — </w:t>
      </w:r>
      <w:r>
        <w:rPr>
          <w:rFonts w:ascii="Calibri" w:hAnsi="Calibri"/>
          <w:b/>
          <w:color w:val="525866"/>
          <w:sz w:val="22"/>
        </w:rPr>
        <w:t xml:space="preserve">$800M USD Senior Notes Issued: </w:t>
      </w:r>
      <w:r>
        <w:rPr>
          <w:rFonts w:ascii="Calibri" w:hAnsi="Calibri"/>
          <w:color w:val="525866"/>
          <w:sz w:val="22"/>
        </w:rPr>
        <w:t xml:space="preserve">Realty Income issued $800M of 4.750% senior unsecured notes due April 2033 (effective yield 5.047%), paired with a $500M USD-to-Euro cross-currency swap generating ~€436M at a blended coupon of 4.16%. </w:t>
      </w:r>
      <w:r>
        <w:rPr>
          <w:rFonts w:ascii="Calibri" w:hAnsi="Calibri"/>
          <w:b/>
          <w:color w:val="525866"/>
          <w:sz w:val="22"/>
        </w:rPr>
        <w:t xml:space="preserve">Implication: </w:t>
      </w:r>
      <w:r>
        <w:rPr>
          <w:rFonts w:ascii="Calibri" w:hAnsi="Calibri"/>
          <w:color w:val="525866"/>
          <w:sz w:val="22"/>
        </w:rPr>
        <w:t>Demonstrates continued access to investment-grade debt markets at competitive rates; cross-currency swap further reduces effective borrowing cost.</w:t>
      </w:r>
    </w:p>
    <w:p>
      <w:pPr>
        <w:pStyle w:val="ListBullet"/>
        <w:ind w:left="360" w:hanging="360"/>
      </w:pPr>
      <w:r>
        <w:rPr>
          <w:rFonts w:ascii="Calibri" w:hAnsi="Calibri"/>
          <w:b/>
          <w:color w:val="525866"/>
          <w:sz w:val="22"/>
        </w:rPr>
        <w:t xml:space="preserve">Q1 2026 Earnings (May 6, 2026) — </w:t>
      </w:r>
      <w:r>
        <w:rPr>
          <w:rFonts w:ascii="Calibri" w:hAnsi="Calibri"/>
          <w:b/>
          <w:color w:val="525866"/>
          <w:sz w:val="22"/>
        </w:rPr>
        <w:t xml:space="preserve">Private Capital Ecosystem Completed: </w:t>
      </w:r>
      <w:r>
        <w:rPr>
          <w:rFonts w:ascii="Calibri" w:hAnsi="Calibri"/>
          <w:color w:val="525866"/>
          <w:sz w:val="22"/>
        </w:rPr>
        <w:t xml:space="preserve">Three non-overlapping vehicles closed: (1) Apollo $1B JV for ~500-property retail portfolio (capped IRR at 6.875%, call option years 7–15); (2) GIC $1.5B build-to-suit JV for U.S./Mexico industrial; (3) $1.7B U.S. Core Plus Fund cornerstone raise (expected full deployment by end of June/early July 2026, targeting $3.5–4.0B AUM). </w:t>
      </w:r>
      <w:r>
        <w:rPr>
          <w:rFonts w:ascii="Calibri" w:hAnsi="Calibri"/>
          <w:b/>
          <w:color w:val="525866"/>
          <w:sz w:val="22"/>
        </w:rPr>
        <w:t xml:space="preserve">Implication: </w:t>
      </w:r>
      <w:r>
        <w:rPr>
          <w:rFonts w:ascii="Calibri" w:hAnsi="Calibri"/>
          <w:color w:val="525866"/>
          <w:sz w:val="22"/>
        </w:rPr>
        <w:t>Diversifies equity capital sources away from public markets; fund expected to generate &gt;$10M annualized base management fees once fully drawn.</w:t>
      </w:r>
    </w:p>
    <w:p>
      <w:pPr>
        <w:pStyle w:val="ListBullet"/>
        <w:ind w:left="360" w:hanging="360"/>
      </w:pPr>
      <w:r>
        <w:rPr>
          <w:rFonts w:ascii="Calibri" w:hAnsi="Calibri"/>
          <w:b/>
          <w:color w:val="525866"/>
          <w:sz w:val="22"/>
        </w:rPr>
        <w:t xml:space="preserve">Q1 2026 Earnings (May 6, 2026) — </w:t>
      </w:r>
      <w:r>
        <w:rPr>
          <w:rFonts w:ascii="Calibri" w:hAnsi="Calibri"/>
          <w:b/>
          <w:color w:val="525866"/>
          <w:sz w:val="22"/>
        </w:rPr>
        <w:t xml:space="preserve">Data Center Mezzanine Loan ($190M): </w:t>
      </w:r>
      <w:r>
        <w:rPr>
          <w:rFonts w:ascii="Calibri" w:hAnsi="Calibri"/>
          <w:color w:val="525866"/>
          <w:sz w:val="22"/>
        </w:rPr>
        <w:t xml:space="preserve">Realty Income deployed a $190M mezzanine loan for a data center campus in Virginia pre-leased to an investment-grade hyperscale tenant, alongside a $375M logistics mezzanine loan. Both structured with path-to-ownership intent. </w:t>
      </w:r>
      <w:r>
        <w:rPr>
          <w:rFonts w:ascii="Calibri" w:hAnsi="Calibri"/>
          <w:b/>
          <w:color w:val="525866"/>
          <w:sz w:val="22"/>
        </w:rPr>
        <w:t xml:space="preserve">Implication: </w:t>
      </w:r>
      <w:r>
        <w:rPr>
          <w:rFonts w:ascii="Calibri" w:hAnsi="Calibri"/>
          <w:color w:val="525866"/>
          <w:sz w:val="22"/>
        </w:rPr>
        <w:t>Data center credit investments are a growing and increasingly important strategic priority; loan-to-own incubation strategy could become a meaningful asset class over time.</w:t>
      </w:r>
    </w:p>
    <w:p>
      <w:r>
        <w:br w:type="page"/>
      </w:r>
    </w:p>
    <w:p>
      <w:pPr>
        <w:pStyle w:val="Heading1"/>
        <w:pBdr>
          <w:bottom w:val="single" w:sz="4" w:space="1" w:color="FB9120"/>
        </w:pBdr>
      </w:pPr>
      <w:r>
        <w:rPr>
          <w:rFonts w:ascii="Calibri" w:hAnsi="Calibri"/>
          <w:b/>
          <w:color w:val="3B4259"/>
          <w:sz w:val="40"/>
        </w:rPr>
        <w:t>7. Peer Commentaries — Q2 2026 Read-Through</w:t>
      </w:r>
    </w:p>
    <w:p>
      <w:r>
        <w:rPr>
          <w:rFonts w:ascii="Calibri" w:hAnsi="Calibri"/>
          <w:b/>
          <w:color w:val="525866"/>
          <w:sz w:val="22"/>
        </w:rPr>
        <w:t xml:space="preserve">Key Takeaway: </w:t>
      </w:r>
      <w:r>
        <w:rPr>
          <w:rFonts w:ascii="Calibri" w:hAnsi="Calibri"/>
          <w:color w:val="525866"/>
          <w:sz w:val="22"/>
        </w:rPr>
        <w:t xml:space="preserve">Peers reporting Q2 2026 results paint a </w:t>
      </w:r>
      <w:r>
        <w:rPr>
          <w:rFonts w:ascii="Calibri" w:hAnsi="Calibri"/>
          <w:b/>
          <w:color w:val="525866"/>
          <w:sz w:val="22"/>
        </w:rPr>
        <w:t>constructive backdrop for O's print</w:t>
      </w:r>
      <w:r>
        <w:rPr>
          <w:rFonts w:ascii="Calibri" w:hAnsi="Calibri"/>
          <w:color w:val="525866"/>
          <w:sz w:val="22"/>
        </w:rPr>
        <w:t xml:space="preserve"> — net lease credit quality is strong (FCPT rent coverage 5.2x, no major tenant issues), open-air retail fundamentals are robust (BRX same-store NOI +5.8%, REG same-store NOI +3.8%), and cap rates have been stable-to-compressing despite rate volatility — all positive read-throughs for O's occupancy, credit loss, and investment spread assumptions.</w:t>
      </w:r>
    </w:p>
    <w:p>
      <w:r>
        <w:rPr>
          <w:rFonts w:ascii="Calibri" w:hAnsi="Calibri"/>
          <w:b/>
          <w:color w:val="525866"/>
          <w:sz w:val="22"/>
        </w:rPr>
        <w:t xml:space="preserve">Note: </w:t>
      </w:r>
      <w:r>
        <w:rPr>
          <w:rFonts w:ascii="Calibri" w:hAnsi="Calibri"/>
          <w:color w:val="525866"/>
          <w:sz w:val="22"/>
        </w:rPr>
        <w:t>Only commentary from Q2 2026 earnings calls (reporting Q2 2026 results and current/forward outlook) is included below. Prior-quarter result commentary is excluded.</w:t>
      </w:r>
    </w:p>
    <w:p>
      <w:pPr>
        <w:pStyle w:val="Heading2"/>
      </w:pPr>
      <w:r>
        <w:rPr>
          <w:rFonts w:ascii="Calibri" w:hAnsi="Calibri"/>
          <w:b/>
          <w:color w:val="3B4259"/>
          <w:sz w:val="28"/>
        </w:rPr>
        <w:t>FCPT (Four Corners Property Trust) — Q2 2026 Earnings Call (July 30, 2026)</w:t>
      </w:r>
    </w:p>
    <w:p>
      <w:r>
        <w:rPr>
          <w:rFonts w:ascii="Calibri" w:hAnsi="Calibri"/>
          <w:b/>
          <w:color w:val="525866"/>
          <w:sz w:val="22"/>
        </w:rPr>
        <w:t xml:space="preserve">Relevance to O: </w:t>
      </w:r>
      <w:r>
        <w:rPr>
          <w:rFonts w:ascii="Calibri" w:hAnsi="Calibri"/>
          <w:color w:val="525866"/>
          <w:sz w:val="22"/>
        </w:rPr>
        <w:t>FCPT is a direct net lease peer with a restaurant/retail-heavy portfolio. Its Q2 2026 commentary provides a real-time read on net lease credit quality, cap rates, and tenant health heading into O's print.</w:t>
      </w:r>
    </w:p>
    <w:p>
      <w:pPr>
        <w:pStyle w:val="ListBullet"/>
        <w:ind w:left="360" w:hanging="360"/>
      </w:pPr>
      <w:r>
        <w:rPr>
          <w:rFonts w:ascii="Calibri" w:hAnsi="Calibri"/>
          <w:b/>
          <w:color w:val="525866"/>
          <w:sz w:val="22"/>
        </w:rPr>
        <w:t xml:space="preserve">Net Lease Credit Quality Remains Excellent: </w:t>
      </w:r>
      <w:r>
        <w:rPr>
          <w:rFonts w:ascii="Calibri" w:hAnsi="Calibri"/>
          <w:color w:val="525866"/>
          <w:sz w:val="22"/>
        </w:rPr>
        <w:t xml:space="preserve">FCPT reported Q2 2026 rent coverage of </w:t>
      </w:r>
      <w:r>
        <w:rPr>
          <w:rFonts w:ascii="Calibri" w:hAnsi="Calibri"/>
          <w:b/>
          <w:color w:val="525866"/>
          <w:sz w:val="22"/>
        </w:rPr>
        <w:t>5.2x for the majority of its portfolio</w:t>
      </w:r>
      <w:r>
        <w:rPr>
          <w:rFonts w:ascii="Calibri" w:hAnsi="Calibri"/>
          <w:color w:val="525866"/>
          <w:sz w:val="22"/>
        </w:rPr>
        <w:t xml:space="preserve">, described as "amongst the best coverage within the net lease industry." No major tenant credit issues, limited vacancy, and very low bad debt expense. </w:t>
      </w:r>
      <w:r>
        <w:rPr>
          <w:rFonts w:ascii="Calibri" w:hAnsi="Calibri"/>
          <w:b/>
          <w:color w:val="525866"/>
          <w:sz w:val="22"/>
        </w:rPr>
        <w:t xml:space="preserve">Read-through for O: </w:t>
      </w:r>
      <w:r>
        <w:rPr>
          <w:rFonts w:ascii="Calibri" w:hAnsi="Calibri"/>
          <w:color w:val="525866"/>
          <w:sz w:val="22"/>
        </w:rPr>
        <w:t>Supports O's lowered credit loss guidance of ~40 bps; net lease tenant health broadly strong in Q2 2026.</w:t>
      </w:r>
    </w:p>
    <w:p>
      <w:pPr>
        <w:pStyle w:val="ListBullet"/>
        <w:ind w:left="360" w:hanging="360"/>
      </w:pPr>
      <w:r>
        <w:rPr>
          <w:rFonts w:ascii="Calibri" w:hAnsi="Calibri"/>
          <w:b/>
          <w:color w:val="525866"/>
          <w:sz w:val="22"/>
        </w:rPr>
        <w:t xml:space="preserve">Cap Rates Stable in Mid-to-High 6% Range: </w:t>
      </w:r>
      <w:r>
        <w:rPr>
          <w:rFonts w:ascii="Calibri" w:hAnsi="Calibri"/>
          <w:color w:val="525866"/>
          <w:sz w:val="22"/>
        </w:rPr>
        <w:t xml:space="preserve">FCPT's year-to-date investment activity was at a </w:t>
      </w:r>
      <w:r>
        <w:rPr>
          <w:rFonts w:ascii="Calibri" w:hAnsi="Calibri"/>
          <w:b/>
          <w:color w:val="525866"/>
          <w:sz w:val="22"/>
        </w:rPr>
        <w:t>blended 6.6% cash cap rate</w:t>
      </w:r>
      <w:r>
        <w:rPr>
          <w:rFonts w:ascii="Calibri" w:hAnsi="Calibri"/>
          <w:color w:val="525866"/>
          <w:sz w:val="22"/>
        </w:rPr>
        <w:t xml:space="preserve">; Q2 specifically at 6.8%–7.5%. </w:t>
      </w:r>
      <w:r>
        <w:rPr>
          <w:rFonts w:ascii="Calibri" w:hAnsi="Calibri"/>
          <w:b/>
          <w:color w:val="525866"/>
          <w:sz w:val="22"/>
        </w:rPr>
        <w:t xml:space="preserve">Read-through for O: </w:t>
      </w:r>
      <w:r>
        <w:rPr>
          <w:rFonts w:ascii="Calibri" w:hAnsi="Calibri"/>
          <w:color w:val="525866"/>
          <w:sz w:val="22"/>
        </w:rPr>
        <w:t>Consistent with O's Q1 2026 acquisition cap rate of 6.7% and consensus estimate of 7.08% for Q2 2026; cap rate environment has not deteriorated.</w:t>
      </w:r>
    </w:p>
    <w:p>
      <w:pPr>
        <w:pStyle w:val="ListBullet"/>
        <w:ind w:left="360" w:hanging="360"/>
      </w:pPr>
      <w:r>
        <w:rPr>
          <w:rFonts w:ascii="Calibri" w:hAnsi="Calibri"/>
          <w:b/>
          <w:color w:val="525866"/>
          <w:sz w:val="22"/>
        </w:rPr>
        <w:t xml:space="preserve">Occupancy Exceptionally Strong at 99.5%: </w:t>
      </w:r>
      <w:r>
        <w:rPr>
          <w:rFonts w:ascii="Calibri" w:hAnsi="Calibri"/>
          <w:color w:val="525866"/>
          <w:sz w:val="22"/>
        </w:rPr>
        <w:t xml:space="preserve">FCPT reported portfolio occupancy "above 99%" and specifically 99.5% as of Q2 2026. </w:t>
      </w:r>
      <w:r>
        <w:rPr>
          <w:rFonts w:ascii="Calibri" w:hAnsi="Calibri"/>
          <w:b/>
          <w:color w:val="525866"/>
          <w:sz w:val="22"/>
        </w:rPr>
        <w:t xml:space="preserve">Read-through for O: </w:t>
      </w:r>
      <w:r>
        <w:rPr>
          <w:rFonts w:ascii="Calibri" w:hAnsi="Calibri"/>
          <w:color w:val="525866"/>
          <w:sz w:val="22"/>
        </w:rPr>
        <w:t>Positive signal for O's occupancy, which consensus expects at 98.8% for Q2 2026 — net lease occupancy broadly holding up.</w:t>
      </w:r>
    </w:p>
    <w:p>
      <w:pPr>
        <w:pStyle w:val="ListBullet"/>
        <w:ind w:left="360" w:hanging="360"/>
      </w:pPr>
      <w:r>
        <w:rPr>
          <w:rFonts w:ascii="Calibri" w:hAnsi="Calibri"/>
          <w:b/>
          <w:color w:val="525866"/>
          <w:sz w:val="22"/>
        </w:rPr>
        <w:t xml:space="preserve">Macro Volatility Acknowledged but Portfolio Stable: </w:t>
      </w:r>
      <w:r>
        <w:rPr>
          <w:rFonts w:ascii="Calibri" w:hAnsi="Calibri"/>
          <w:color w:val="525866"/>
          <w:sz w:val="22"/>
        </w:rPr>
        <w:t xml:space="preserve">FCPT noted "the world has a lot of volatility, especially today" but emphasized its portfolio has been "remarkably stable." Equity cost of capital described as not where they want it to be ("yellow zone"). </w:t>
      </w:r>
      <w:r>
        <w:rPr>
          <w:rFonts w:ascii="Calibri" w:hAnsi="Calibri"/>
          <w:b/>
          <w:color w:val="525866"/>
          <w:sz w:val="22"/>
        </w:rPr>
        <w:t xml:space="preserve">Read-through for O: </w:t>
      </w:r>
      <w:r>
        <w:rPr>
          <w:rFonts w:ascii="Calibri" w:hAnsi="Calibri"/>
          <w:color w:val="525866"/>
          <w:sz w:val="22"/>
        </w:rPr>
        <w:t>Equity cost of capital pressure is a sector-wide theme; O's ATM program and private capital channels (Apollo, GIC) are designed to mitigate this.</w:t>
      </w:r>
    </w:p>
    <w:p>
      <w:pPr>
        <w:pStyle w:val="ListBullet"/>
        <w:ind w:left="360" w:hanging="360"/>
      </w:pPr>
      <w:r>
        <w:rPr>
          <w:rFonts w:ascii="Calibri" w:hAnsi="Calibri"/>
          <w:b/>
          <w:color w:val="525866"/>
          <w:sz w:val="22"/>
        </w:rPr>
        <w:t xml:space="preserve">Debt Capital Attractive; Closed $600M in New Debt: </w:t>
      </w:r>
      <w:r>
        <w:rPr>
          <w:rFonts w:ascii="Calibri" w:hAnsi="Calibri"/>
          <w:color w:val="525866"/>
          <w:sz w:val="22"/>
        </w:rPr>
        <w:t xml:space="preserve">FCPT closed $600M in new debt capital since April at all-in rates of ~4.5–4.9%, pushing out maturities. </w:t>
      </w:r>
      <w:r>
        <w:rPr>
          <w:rFonts w:ascii="Calibri" w:hAnsi="Calibri"/>
          <w:b/>
          <w:color w:val="525866"/>
          <w:sz w:val="22"/>
        </w:rPr>
        <w:t xml:space="preserve">Read-through for O: </w:t>
      </w:r>
      <w:r>
        <w:rPr>
          <w:rFonts w:ascii="Calibri" w:hAnsi="Calibri"/>
          <w:color w:val="525866"/>
          <w:sz w:val="22"/>
        </w:rPr>
        <w:t>Confirms investment-grade REITs continue to access debt markets at attractive rates, consistent with O's €600M Euro bond at 3.625% and $800M USD notes at 4.75%.</w:t>
      </w:r>
    </w:p>
    <w:p>
      <w:pPr>
        <w:pStyle w:val="Heading2"/>
      </w:pPr>
      <w:r>
        <w:rPr>
          <w:rFonts w:ascii="Calibri" w:hAnsi="Calibri"/>
          <w:b/>
          <w:color w:val="3B4259"/>
          <w:sz w:val="28"/>
        </w:rPr>
        <w:t>BRX (Brixmor Property Group) — Q2 2026 Earnings Call (July 28, 2026)</w:t>
      </w:r>
    </w:p>
    <w:p>
      <w:r>
        <w:rPr>
          <w:rFonts w:ascii="Calibri" w:hAnsi="Calibri"/>
          <w:b/>
          <w:color w:val="525866"/>
          <w:sz w:val="22"/>
        </w:rPr>
        <w:t xml:space="preserve">Relevance to O: </w:t>
      </w:r>
      <w:r>
        <w:rPr>
          <w:rFonts w:ascii="Calibri" w:hAnsi="Calibri"/>
          <w:color w:val="525866"/>
          <w:sz w:val="22"/>
        </w:rPr>
        <w:t>BRX is a major open-air retail REIT with significant tenant overlap with O's retail portfolio (~78% of O's rent). BRX's Q2 2026 results provide a real-time read on retail tenant health, rent growth, and the acquisition environment.</w:t>
      </w:r>
    </w:p>
    <w:p>
      <w:pPr>
        <w:pStyle w:val="ListBullet"/>
        <w:ind w:left="360" w:hanging="360"/>
      </w:pPr>
      <w:r>
        <w:rPr>
          <w:rFonts w:ascii="Calibri" w:hAnsi="Calibri"/>
          <w:b/>
          <w:color w:val="525866"/>
          <w:sz w:val="22"/>
        </w:rPr>
        <w:t xml:space="preserve">Retail Fundamentals Exceptionally Strong: </w:t>
      </w:r>
      <w:r>
        <w:rPr>
          <w:rFonts w:ascii="Calibri" w:hAnsi="Calibri"/>
          <w:color w:val="525866"/>
          <w:sz w:val="22"/>
        </w:rPr>
        <w:t xml:space="preserve">BRX delivered </w:t>
      </w:r>
      <w:r>
        <w:rPr>
          <w:rFonts w:ascii="Calibri" w:hAnsi="Calibri"/>
          <w:b/>
          <w:color w:val="525866"/>
          <w:sz w:val="22"/>
        </w:rPr>
        <w:t>5.8% same-property NOI growth</w:t>
      </w:r>
      <w:r>
        <w:rPr>
          <w:rFonts w:ascii="Calibri" w:hAnsi="Calibri"/>
          <w:color w:val="525866"/>
          <w:sz w:val="22"/>
        </w:rPr>
        <w:t xml:space="preserve"> in Q2 2026, raised full-year same-property NOI guidance to 5.0%–5.75%, and achieved record small shop occupancy of 92.6%. New lease spreads have remained above 30% for three consecutive years. </w:t>
      </w:r>
      <w:r>
        <w:rPr>
          <w:rFonts w:ascii="Calibri" w:hAnsi="Calibri"/>
          <w:b/>
          <w:color w:val="525866"/>
          <w:sz w:val="22"/>
        </w:rPr>
        <w:t xml:space="preserve">Read-through for O: </w:t>
      </w:r>
      <w:r>
        <w:rPr>
          <w:rFonts w:ascii="Calibri" w:hAnsi="Calibri"/>
          <w:color w:val="525866"/>
          <w:sz w:val="22"/>
        </w:rPr>
        <w:t>Strong retail tenant demand and rent growth support O's occupancy and same-store NOI assumptions; tenant health is the best BRX has ever seen.</w:t>
      </w:r>
    </w:p>
    <w:p>
      <w:pPr>
        <w:pStyle w:val="ListBullet"/>
        <w:ind w:left="360" w:hanging="360"/>
      </w:pPr>
      <w:r>
        <w:rPr>
          <w:rFonts w:ascii="Calibri" w:hAnsi="Calibri"/>
          <w:b/>
          <w:color w:val="525866"/>
          <w:sz w:val="22"/>
        </w:rPr>
        <w:t xml:space="preserve">Tenant Credit Quality at Record Highs: </w:t>
      </w:r>
      <w:r>
        <w:rPr>
          <w:rFonts w:ascii="Calibri" w:hAnsi="Calibri"/>
          <w:color w:val="525866"/>
          <w:sz w:val="22"/>
        </w:rPr>
        <w:t xml:space="preserve">BRX reported revenues deemed uncollectible of only </w:t>
      </w:r>
      <w:r>
        <w:rPr>
          <w:rFonts w:ascii="Calibri" w:hAnsi="Calibri"/>
          <w:b/>
          <w:color w:val="525866"/>
          <w:sz w:val="22"/>
        </w:rPr>
        <w:t>60–85 bps of total revenues</w:t>
      </w:r>
      <w:r>
        <w:rPr>
          <w:rFonts w:ascii="Calibri" w:hAnsi="Calibri"/>
          <w:color w:val="525866"/>
          <w:sz w:val="22"/>
        </w:rPr>
        <w:t xml:space="preserve"> (improved from prior guidance), with small shop move-outs at record lows and retention rate up 300 bps year-over-year. "This is the strongest underlying tenant base that the company has ever had." </w:t>
      </w:r>
      <w:r>
        <w:rPr>
          <w:rFonts w:ascii="Calibri" w:hAnsi="Calibri"/>
          <w:b/>
          <w:color w:val="525866"/>
          <w:sz w:val="22"/>
        </w:rPr>
        <w:t xml:space="preserve">Read-through for O: </w:t>
      </w:r>
      <w:r>
        <w:rPr>
          <w:rFonts w:ascii="Calibri" w:hAnsi="Calibri"/>
          <w:color w:val="525866"/>
          <w:sz w:val="22"/>
        </w:rPr>
        <w:t>Directly supports O's lowered credit loss guidance of ~40 bps; retail tenant credit quality is broadly improving across the sector.</w:t>
      </w:r>
    </w:p>
    <w:p>
      <w:pPr>
        <w:pStyle w:val="ListBullet"/>
        <w:ind w:left="360" w:hanging="360"/>
      </w:pPr>
      <w:r>
        <w:rPr>
          <w:rFonts w:ascii="Calibri" w:hAnsi="Calibri"/>
          <w:b/>
          <w:color w:val="525866"/>
          <w:sz w:val="22"/>
        </w:rPr>
        <w:t xml:space="preserve">Cap Rates Stable Despite Rate Volatility: </w:t>
      </w:r>
      <w:r>
        <w:rPr>
          <w:rFonts w:ascii="Calibri" w:hAnsi="Calibri"/>
          <w:color w:val="525866"/>
          <w:sz w:val="22"/>
        </w:rPr>
        <w:t xml:space="preserve">BRX noted cap rates have been "generally stable" over the last quarter despite interest rate volatility, with Q2 acquisitions at a </w:t>
      </w:r>
      <w:r>
        <w:rPr>
          <w:rFonts w:ascii="Calibri" w:hAnsi="Calibri"/>
          <w:b/>
          <w:color w:val="525866"/>
          <w:sz w:val="22"/>
        </w:rPr>
        <w:t>blended low-6% cap rate</w:t>
      </w:r>
      <w:r>
        <w:rPr>
          <w:rFonts w:ascii="Calibri" w:hAnsi="Calibri"/>
          <w:color w:val="525866"/>
          <w:sz w:val="22"/>
        </w:rPr>
        <w:t xml:space="preserve">. Increased private capital seeking retail exposure, but BRX's relationship-driven approach makes it a preferred buyer. </w:t>
      </w:r>
      <w:r>
        <w:rPr>
          <w:rFonts w:ascii="Calibri" w:hAnsi="Calibri"/>
          <w:b/>
          <w:color w:val="525866"/>
          <w:sz w:val="22"/>
        </w:rPr>
        <w:t xml:space="preserve">Read-through for O: </w:t>
      </w:r>
      <w:r>
        <w:rPr>
          <w:rFonts w:ascii="Calibri" w:hAnsi="Calibri"/>
          <w:color w:val="525866"/>
          <w:sz w:val="22"/>
        </w:rPr>
        <w:t>Cap rate stability is positive for O's investment spread assumptions; increased private capital in retail is a competitive dynamic O has acknowledged but is managing through its private capital channels.</w:t>
      </w:r>
    </w:p>
    <w:p>
      <w:pPr>
        <w:pStyle w:val="ListBullet"/>
        <w:ind w:left="360" w:hanging="360"/>
      </w:pPr>
      <w:r>
        <w:rPr>
          <w:rFonts w:ascii="Calibri" w:hAnsi="Calibri"/>
          <w:b/>
          <w:color w:val="525866"/>
          <w:sz w:val="22"/>
        </w:rPr>
        <w:t xml:space="preserve">Acquisition Market Accelerating: </w:t>
      </w:r>
      <w:r>
        <w:rPr>
          <w:rFonts w:ascii="Calibri" w:hAnsi="Calibri"/>
          <w:color w:val="525866"/>
          <w:sz w:val="22"/>
        </w:rPr>
        <w:t xml:space="preserve">BRX noted "an acceleration of assets hitting the market" driven by holders unable to sell other asset types and sellers wanting to take advantage of good pricing. Completed $164M of acquisitions in Q2. </w:t>
      </w:r>
      <w:r>
        <w:rPr>
          <w:rFonts w:ascii="Calibri" w:hAnsi="Calibri"/>
          <w:b/>
          <w:color w:val="525866"/>
          <w:sz w:val="22"/>
        </w:rPr>
        <w:t xml:space="preserve">Read-through for O: </w:t>
      </w:r>
      <w:r>
        <w:rPr>
          <w:rFonts w:ascii="Calibri" w:hAnsi="Calibri"/>
          <w:color w:val="525866"/>
          <w:sz w:val="22"/>
        </w:rPr>
        <w:t>Positive for O's $9.5B investment volume target — more assets coming to market supports deal flow, consistent with O's $31B of opportunities sourced in Q1 2026.</w:t>
      </w:r>
    </w:p>
    <w:p>
      <w:pPr>
        <w:pStyle w:val="ListBullet"/>
        <w:ind w:left="360" w:hanging="360"/>
      </w:pPr>
      <w:r>
        <w:rPr>
          <w:rFonts w:ascii="Calibri" w:hAnsi="Calibri"/>
          <w:b/>
          <w:color w:val="525866"/>
          <w:sz w:val="22"/>
        </w:rPr>
        <w:t xml:space="preserve">Balance Sheet Strength: </w:t>
      </w:r>
      <w:r>
        <w:rPr>
          <w:rFonts w:ascii="Calibri" w:hAnsi="Calibri"/>
          <w:color w:val="525866"/>
          <w:sz w:val="22"/>
        </w:rPr>
        <w:t xml:space="preserve">S&amp;P revised BRX's outlook to positive; leverage at 5.3x; liquidity of $1.5B. </w:t>
      </w:r>
      <w:r>
        <w:rPr>
          <w:rFonts w:ascii="Calibri" w:hAnsi="Calibri"/>
          <w:b/>
          <w:color w:val="525866"/>
          <w:sz w:val="22"/>
        </w:rPr>
        <w:t xml:space="preserve">Read-through for O: </w:t>
      </w:r>
      <w:r>
        <w:rPr>
          <w:rFonts w:ascii="Calibri" w:hAnsi="Calibri"/>
          <w:color w:val="525866"/>
          <w:sz w:val="22"/>
        </w:rPr>
        <w:t>Sector-wide balance sheet improvement is a positive backdrop; O's leverage of 5.2x (4.9x including forward equity) is consistent with peer positioning.</w:t>
      </w:r>
    </w:p>
    <w:p>
      <w:pPr>
        <w:pStyle w:val="Heading2"/>
      </w:pPr>
      <w:r>
        <w:rPr>
          <w:rFonts w:ascii="Calibri" w:hAnsi="Calibri"/>
          <w:b/>
          <w:color w:val="3B4259"/>
          <w:sz w:val="28"/>
        </w:rPr>
        <w:t>REG (Regency Centers) — Q2 2026 Earnings Call (July 30, 2026)</w:t>
      </w:r>
    </w:p>
    <w:p>
      <w:r>
        <w:rPr>
          <w:rFonts w:ascii="Calibri" w:hAnsi="Calibri"/>
          <w:b/>
          <w:color w:val="525866"/>
          <w:sz w:val="22"/>
        </w:rPr>
        <w:t xml:space="preserve">Relevance to O: </w:t>
      </w:r>
      <w:r>
        <w:rPr>
          <w:rFonts w:ascii="Calibri" w:hAnsi="Calibri"/>
          <w:color w:val="525866"/>
          <w:sz w:val="22"/>
        </w:rPr>
        <w:t>REG is a leading grocery-anchored REIT with significant retail tenant overlap. Its Q2 2026 commentary provides a read on leasing demand, rent growth, cap rate trends, and the macro environment for retail real estate.</w:t>
      </w:r>
    </w:p>
    <w:p>
      <w:pPr>
        <w:pStyle w:val="ListBullet"/>
        <w:ind w:left="360" w:hanging="360"/>
      </w:pPr>
      <w:r>
        <w:rPr>
          <w:rFonts w:ascii="Calibri" w:hAnsi="Calibri"/>
          <w:b/>
          <w:color w:val="525866"/>
          <w:sz w:val="22"/>
        </w:rPr>
        <w:t xml:space="preserve">Leasing Demand Remains Robust Across All Categories: </w:t>
      </w:r>
      <w:r>
        <w:rPr>
          <w:rFonts w:ascii="Calibri" w:hAnsi="Calibri"/>
          <w:color w:val="525866"/>
          <w:sz w:val="22"/>
        </w:rPr>
        <w:t xml:space="preserve">REG reported </w:t>
      </w:r>
      <w:r>
        <w:rPr>
          <w:rFonts w:ascii="Calibri" w:hAnsi="Calibri"/>
          <w:b/>
          <w:color w:val="525866"/>
          <w:sz w:val="22"/>
        </w:rPr>
        <w:t>same-property NOI growth of 3.8%</w:t>
      </w:r>
      <w:r>
        <w:rPr>
          <w:rFonts w:ascii="Calibri" w:hAnsi="Calibri"/>
          <w:color w:val="525866"/>
          <w:sz w:val="22"/>
        </w:rPr>
        <w:t xml:space="preserve"> in Q2 2026, raised full-year same-property NOI guidance by 40 bps at the midpoint, and achieved new highs for overall leased and shop occupancy (same-property lease rate nearly 97%). Cash rent spreads above 10%; GAAP spreads nearly 20%. </w:t>
      </w:r>
      <w:r>
        <w:rPr>
          <w:rFonts w:ascii="Calibri" w:hAnsi="Calibri"/>
          <w:b/>
          <w:color w:val="525866"/>
          <w:sz w:val="22"/>
        </w:rPr>
        <w:t xml:space="preserve">Read-through for O: </w:t>
      </w:r>
      <w:r>
        <w:rPr>
          <w:rFonts w:ascii="Calibri" w:hAnsi="Calibri"/>
          <w:color w:val="525866"/>
          <w:sz w:val="22"/>
        </w:rPr>
        <w:t>Broad-based leasing demand across grocers, health &amp; wellness, restaurants, and value retailers supports O's occupancy and same-store NOI assumptions.</w:t>
      </w:r>
    </w:p>
    <w:p>
      <w:pPr>
        <w:pStyle w:val="ListBullet"/>
        <w:ind w:left="360" w:hanging="360"/>
      </w:pPr>
      <w:r>
        <w:rPr>
          <w:rFonts w:ascii="Calibri" w:hAnsi="Calibri"/>
          <w:b/>
          <w:color w:val="525866"/>
          <w:sz w:val="22"/>
        </w:rPr>
        <w:t xml:space="preserve">Tenant Health Strong; Foot Traffic Growing: </w:t>
      </w:r>
      <w:r>
        <w:rPr>
          <w:rFonts w:ascii="Calibri" w:hAnsi="Calibri"/>
          <w:color w:val="525866"/>
          <w:sz w:val="22"/>
        </w:rPr>
        <w:t xml:space="preserve">REG noted "tenant sales growth is widespread throughout the portfolio," foot traffic showing steady increases, and accounts receivables below historical averages. Medical and fitness tenants now ~12% of ABR (up 200 bps over 5 years). </w:t>
      </w:r>
      <w:r>
        <w:rPr>
          <w:rFonts w:ascii="Calibri" w:hAnsi="Calibri"/>
          <w:b/>
          <w:color w:val="525866"/>
          <w:sz w:val="22"/>
        </w:rPr>
        <w:t xml:space="preserve">Read-through for O: </w:t>
      </w:r>
      <w:r>
        <w:rPr>
          <w:rFonts w:ascii="Calibri" w:hAnsi="Calibri"/>
          <w:color w:val="525866"/>
          <w:sz w:val="22"/>
        </w:rPr>
        <w:t>Confirms the retail tenant health narrative; no signs of consumer stress in the suburban trade areas where O's retail tenants operate.</w:t>
      </w:r>
    </w:p>
    <w:p>
      <w:pPr>
        <w:pStyle w:val="ListBullet"/>
        <w:ind w:left="360" w:hanging="360"/>
      </w:pPr>
      <w:r>
        <w:rPr>
          <w:rFonts w:ascii="Calibri" w:hAnsi="Calibri"/>
          <w:b/>
          <w:color w:val="525866"/>
          <w:sz w:val="22"/>
        </w:rPr>
        <w:t xml:space="preserve">Cap Rates Compressing — Some Transactions Starting with a 4%: </w:t>
      </w:r>
      <w:r>
        <w:rPr>
          <w:rFonts w:ascii="Calibri" w:hAnsi="Calibri"/>
          <w:color w:val="525866"/>
          <w:sz w:val="22"/>
        </w:rPr>
        <w:t xml:space="preserve">REG noted transaction markets are "extremely competitive" with cap rates continuing to compress — previously mid-5s, now seeing some transactions starting with a 4%. Ground-up development yields at 7%+. </w:t>
      </w:r>
      <w:r>
        <w:rPr>
          <w:rFonts w:ascii="Calibri" w:hAnsi="Calibri"/>
          <w:b/>
          <w:color w:val="525866"/>
          <w:sz w:val="22"/>
        </w:rPr>
        <w:t xml:space="preserve">Read-through for O: </w:t>
      </w:r>
      <w:r>
        <w:rPr>
          <w:rFonts w:ascii="Calibri" w:hAnsi="Calibri"/>
          <w:color w:val="525866"/>
          <w:sz w:val="22"/>
        </w:rPr>
        <w:t>Cap rate compression in grocery-anchored retail is a different dynamic than net lease (O's 6.7–7.1% range), but confirms strong investor demand for retail real estate broadly; O's net lease cap rates have been more stable.</w:t>
      </w:r>
    </w:p>
    <w:p>
      <w:pPr>
        <w:pStyle w:val="ListBullet"/>
        <w:ind w:left="360" w:hanging="360"/>
      </w:pPr>
      <w:r>
        <w:rPr>
          <w:rFonts w:ascii="Calibri" w:hAnsi="Calibri"/>
          <w:b/>
          <w:color w:val="525866"/>
          <w:sz w:val="22"/>
        </w:rPr>
        <w:t xml:space="preserve">Development Pipeline Raised to ~$400M in 2026 Starts: </w:t>
      </w:r>
      <w:r>
        <w:rPr>
          <w:rFonts w:ascii="Calibri" w:hAnsi="Calibri"/>
          <w:color w:val="525866"/>
          <w:sz w:val="22"/>
        </w:rPr>
        <w:t xml:space="preserve">REG raised its outlook for new development and redevelopment project starts to approach $400M in 2026, with in-process pipeline of $680M nearly 80% leased at expected blended returns of 9%. </w:t>
      </w:r>
      <w:r>
        <w:rPr>
          <w:rFonts w:ascii="Calibri" w:hAnsi="Calibri"/>
          <w:b/>
          <w:color w:val="525866"/>
          <w:sz w:val="22"/>
        </w:rPr>
        <w:t xml:space="preserve">Read-through for O: </w:t>
      </w:r>
      <w:r>
        <w:rPr>
          <w:rFonts w:ascii="Calibri" w:hAnsi="Calibri"/>
          <w:color w:val="525866"/>
          <w:sz w:val="22"/>
        </w:rPr>
        <w:t>Development activity at attractive yields is a positive read for O's GIC build-to-suit JV, which targets industrial development at similar yield profiles.</w:t>
      </w:r>
    </w:p>
    <w:p>
      <w:pPr>
        <w:pStyle w:val="ListBullet"/>
        <w:ind w:left="360" w:hanging="360"/>
      </w:pPr>
      <w:r>
        <w:rPr>
          <w:rFonts w:ascii="Calibri" w:hAnsi="Calibri"/>
          <w:b/>
          <w:color w:val="525866"/>
          <w:sz w:val="22"/>
        </w:rPr>
        <w:t xml:space="preserve">Macro Uncertainty Acknowledged but Portfolio Positioned to Perform: </w:t>
      </w:r>
      <w:r>
        <w:rPr>
          <w:rFonts w:ascii="Calibri" w:hAnsi="Calibri"/>
          <w:color w:val="525866"/>
          <w:sz w:val="22"/>
        </w:rPr>
        <w:t xml:space="preserve">REG noted "shorter-term uncertainty" in the macro environment but expressed confidence that its portfolio and strategy position it to "perform consistently through such periods and across all economic cycles." Core operating earnings per share growth now expected to exceed 5%. </w:t>
      </w:r>
      <w:r>
        <w:rPr>
          <w:rFonts w:ascii="Calibri" w:hAnsi="Calibri"/>
          <w:b/>
          <w:color w:val="525866"/>
          <w:sz w:val="22"/>
        </w:rPr>
        <w:t xml:space="preserve">Read-through for O: </w:t>
      </w:r>
      <w:r>
        <w:rPr>
          <w:rFonts w:ascii="Calibri" w:hAnsi="Calibri"/>
          <w:color w:val="525866"/>
          <w:sz w:val="22"/>
        </w:rPr>
        <w:t>Sector-wide confidence in retail real estate durability; O's diversified net lease portfolio (90+ subsectors, 1,600+ clients) is similarly positioned to weather macro volatility.</w:t>
      </w:r>
    </w:p>
    <w:p>
      <w:pPr>
        <w:pStyle w:val="ListBullet"/>
        <w:ind w:left="360" w:hanging="360"/>
      </w:pPr>
      <w:r>
        <w:rPr>
          <w:rFonts w:ascii="Calibri" w:hAnsi="Calibri"/>
          <w:b/>
          <w:color w:val="525866"/>
          <w:sz w:val="22"/>
        </w:rPr>
        <w:t xml:space="preserve">Lease Termination Fee from EV Operator: </w:t>
      </w:r>
      <w:r>
        <w:rPr>
          <w:rFonts w:ascii="Calibri" w:hAnsi="Calibri"/>
          <w:color w:val="525866"/>
          <w:sz w:val="22"/>
        </w:rPr>
        <w:t xml:space="preserve">REG received a termination fee of 4 years of rent from a major EV operator that decided not to open 11 locations, contributing ~$0.015 to the Q2 guidance raise. Already engaged on 8 of 11 locations for backfill. </w:t>
      </w:r>
      <w:r>
        <w:rPr>
          <w:rFonts w:ascii="Calibri" w:hAnsi="Calibri"/>
          <w:b/>
          <w:color w:val="525866"/>
          <w:sz w:val="22"/>
        </w:rPr>
        <w:t xml:space="preserve">Read-through for O: </w:t>
      </w:r>
      <w:r>
        <w:rPr>
          <w:rFonts w:ascii="Calibri" w:hAnsi="Calibri"/>
          <w:color w:val="525866"/>
          <w:sz w:val="22"/>
        </w:rPr>
        <w:t>Lease termination income is a sector-wide phenomenon in Q2 2026, not unique to O — but REG's experience confirms that proactive asset management can generate meaningful termination income while quickly backfilling with better tenants.</w:t>
      </w:r>
    </w:p>
    <w:p>
      <w:r>
        <w:rPr>
          <w:rFonts w:ascii="Calibri" w:hAnsi="Calibri"/>
          <w:b/>
          <w:color w:val="525866"/>
          <w:sz w:val="22"/>
        </w:rPr>
        <w:t xml:space="preserve">Overall Peer Read-Through Summary: </w:t>
      </w:r>
      <w:r>
        <w:rPr>
          <w:rFonts w:ascii="Calibri" w:hAnsi="Calibri"/>
          <w:color w:val="525866"/>
          <w:sz w:val="22"/>
        </w:rPr>
        <w:t>The Q2 2026 peer commentary is broadly positive for O's upcoming print. Net lease credit quality is strong (FCPT 5.2x coverage, no major issues), retail tenant health is at or near record levels (BRX, REG), cap rates are stable-to-compressing (supportive of O's investment spread assumptions), and the acquisition market is active with more assets coming to market (supportive of O's $9.5B volume target). The one nuance is that lease termination income appears to be a sector-wide Q2 theme (REG received a large termination fee), which could mean O's Q2 termination income is not as low as the full-year guidance implies — a potential upside surprise.</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were filed in the post-earnings window — all insider activity consists of routine director equity award grants (Form 4 code A) and one tax-withholding share surrender (Form 4 code F). </w:t>
      </w:r>
      <w:r>
        <w:rPr>
          <w:rFonts w:ascii="Calibri" w:hAnsi="Calibri"/>
          <w:b/>
          <w:color w:val="525866"/>
          <w:sz w:val="22"/>
        </w:rPr>
        <w:t>Nothing notable to flag.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Redington Neale</w:t>
            </w:r>
          </w:p>
        </w:tc>
        <w:tc>
          <w:tcPr>
            <w:tcW w:type="dxa" w:w="1440"/>
          </w:tcPr>
          <w:p>
            <w:r>
              <w:rPr>
                <w:rFonts w:ascii="Calibri" w:hAnsi="Calibri"/>
                <w:sz w:val="22"/>
              </w:rPr>
              <w:t>See Remarks</w:t>
            </w:r>
          </w:p>
        </w:tc>
        <w:tc>
          <w:tcPr>
            <w:tcW w:type="dxa" w:w="1440"/>
          </w:tcPr>
          <w:p>
            <w:r>
              <w:rPr>
                <w:rFonts w:ascii="Calibri" w:hAnsi="Calibri"/>
                <w:sz w:val="22"/>
              </w:rPr>
              <w:t>Tax Withholding (F)</w:t>
            </w:r>
          </w:p>
        </w:tc>
        <w:tc>
          <w:tcPr>
            <w:tcW w:type="dxa" w:w="1440"/>
          </w:tcPr>
          <w:p>
            <w:r>
              <w:rPr>
                <w:rFonts w:ascii="Calibri" w:hAnsi="Calibri"/>
                <w:sz w:val="22"/>
              </w:rPr>
              <w:t>240 shares surrendered</w:t>
            </w:r>
          </w:p>
        </w:tc>
        <w:tc>
          <w:tcPr>
            <w:tcW w:type="dxa" w:w="1440"/>
          </w:tcPr>
          <w:p>
            <w:r>
              <w:rPr>
                <w:rFonts w:ascii="Calibri" w:hAnsi="Calibri"/>
                <w:sz w:val="22"/>
              </w:rPr>
              <w:t>Jun 27, 2026</w:t>
            </w:r>
          </w:p>
        </w:tc>
        <w:tc>
          <w:tcPr>
            <w:tcW w:type="dxa" w:w="1440"/>
          </w:tcPr>
          <w:p>
            <w:r>
              <w:rPr>
                <w:rFonts w:ascii="Calibri" w:hAnsi="Calibri"/>
                <w:sz w:val="22"/>
              </w:rPr>
              <w:t>Routine tax withholding; not a discretionary sale</w:t>
            </w:r>
          </w:p>
        </w:tc>
      </w:tr>
      <w:tr>
        <w:tc>
          <w:tcPr>
            <w:tcW w:type="dxa" w:w="1440"/>
          </w:tcPr>
          <w:p>
            <w:r>
              <w:rPr>
                <w:rFonts w:ascii="Calibri" w:hAnsi="Calibri"/>
                <w:sz w:val="22"/>
              </w:rPr>
              <w:t>Almodovar Priscilla</w:t>
            </w:r>
          </w:p>
        </w:tc>
        <w:tc>
          <w:tcPr>
            <w:tcW w:type="dxa" w:w="1440"/>
          </w:tcPr>
          <w:p>
            <w:r>
              <w:rPr>
                <w:rFonts w:ascii="Calibri" w:hAnsi="Calibri"/>
                <w:sz w:val="22"/>
              </w:rPr>
              <w:t>Director</w:t>
            </w:r>
          </w:p>
        </w:tc>
        <w:tc>
          <w:tcPr>
            <w:tcW w:type="dxa" w:w="1440"/>
          </w:tcPr>
          <w:p>
            <w:r>
              <w:rPr>
                <w:rFonts w:ascii="Calibri" w:hAnsi="Calibri"/>
                <w:sz w:val="22"/>
              </w:rPr>
              <w:t>Equity Award Grant (A)</w:t>
            </w:r>
          </w:p>
        </w:tc>
        <w:tc>
          <w:tcPr>
            <w:tcW w:type="dxa" w:w="1440"/>
          </w:tcPr>
          <w:p>
            <w:r>
              <w:rPr>
                <w:rFonts w:ascii="Calibri" w:hAnsi="Calibri"/>
                <w:sz w:val="22"/>
              </w:rPr>
              <w:t>3,214 shares awarded</w:t>
            </w:r>
          </w:p>
        </w:tc>
        <w:tc>
          <w:tcPr>
            <w:tcW w:type="dxa" w:w="1440"/>
          </w:tcPr>
          <w:p>
            <w:r>
              <w:rPr>
                <w:rFonts w:ascii="Calibri" w:hAnsi="Calibri"/>
                <w:sz w:val="22"/>
              </w:rPr>
              <w:t>May 21, 2026</w:t>
            </w:r>
          </w:p>
        </w:tc>
        <w:tc>
          <w:tcPr>
            <w:tcW w:type="dxa" w:w="1440"/>
          </w:tcPr>
          <w:p>
            <w:r>
              <w:rPr>
                <w:rFonts w:ascii="Calibri" w:hAnsi="Calibri"/>
                <w:sz w:val="22"/>
              </w:rPr>
              <w:t>Routine annual director equity compensation</w:t>
            </w:r>
          </w:p>
        </w:tc>
      </w:tr>
      <w:tr>
        <w:tc>
          <w:tcPr>
            <w:tcW w:type="dxa" w:w="1440"/>
          </w:tcPr>
          <w:p>
            <w:r>
              <w:rPr>
                <w:rFonts w:ascii="Calibri" w:hAnsi="Calibri"/>
                <w:sz w:val="22"/>
              </w:rPr>
              <w:t>Chapman A. Larry</w:t>
            </w:r>
          </w:p>
        </w:tc>
        <w:tc>
          <w:tcPr>
            <w:tcW w:type="dxa" w:w="1440"/>
          </w:tcPr>
          <w:p>
            <w:r>
              <w:rPr>
                <w:rFonts w:ascii="Calibri" w:hAnsi="Calibri"/>
                <w:sz w:val="22"/>
              </w:rPr>
              <w:t>Director</w:t>
            </w:r>
          </w:p>
        </w:tc>
        <w:tc>
          <w:tcPr>
            <w:tcW w:type="dxa" w:w="1440"/>
          </w:tcPr>
          <w:p>
            <w:r>
              <w:rPr>
                <w:rFonts w:ascii="Calibri" w:hAnsi="Calibri"/>
                <w:sz w:val="22"/>
              </w:rPr>
              <w:t>Equity Award Grant (A)</w:t>
            </w:r>
          </w:p>
        </w:tc>
        <w:tc>
          <w:tcPr>
            <w:tcW w:type="dxa" w:w="1440"/>
          </w:tcPr>
          <w:p>
            <w:r>
              <w:rPr>
                <w:rFonts w:ascii="Calibri" w:hAnsi="Calibri"/>
                <w:sz w:val="22"/>
              </w:rPr>
              <w:t>3,214 shares awarded</w:t>
            </w:r>
          </w:p>
        </w:tc>
        <w:tc>
          <w:tcPr>
            <w:tcW w:type="dxa" w:w="1440"/>
          </w:tcPr>
          <w:p>
            <w:r>
              <w:rPr>
                <w:rFonts w:ascii="Calibri" w:hAnsi="Calibri"/>
                <w:sz w:val="22"/>
              </w:rPr>
              <w:t>May 21, 2026</w:t>
            </w:r>
          </w:p>
        </w:tc>
        <w:tc>
          <w:tcPr>
            <w:tcW w:type="dxa" w:w="1440"/>
          </w:tcPr>
          <w:p>
            <w:r>
              <w:rPr>
                <w:rFonts w:ascii="Calibri" w:hAnsi="Calibri"/>
                <w:sz w:val="22"/>
              </w:rPr>
              <w:t>Routine annual director equity compensation; held by trust</w:t>
            </w:r>
          </w:p>
        </w:tc>
      </w:tr>
      <w:tr>
        <w:tc>
          <w:tcPr>
            <w:tcW w:type="dxa" w:w="1440"/>
          </w:tcPr>
          <w:p>
            <w:r>
              <w:rPr>
                <w:rFonts w:ascii="Calibri" w:hAnsi="Calibri"/>
                <w:sz w:val="22"/>
              </w:rPr>
              <w:t>Gilyard Reginald Harold</w:t>
            </w:r>
          </w:p>
        </w:tc>
        <w:tc>
          <w:tcPr>
            <w:tcW w:type="dxa" w:w="1440"/>
          </w:tcPr>
          <w:p>
            <w:r>
              <w:rPr>
                <w:rFonts w:ascii="Calibri" w:hAnsi="Calibri"/>
                <w:sz w:val="22"/>
              </w:rPr>
              <w:t>Director</w:t>
            </w:r>
          </w:p>
        </w:tc>
        <w:tc>
          <w:tcPr>
            <w:tcW w:type="dxa" w:w="1440"/>
          </w:tcPr>
          <w:p>
            <w:r>
              <w:rPr>
                <w:rFonts w:ascii="Calibri" w:hAnsi="Calibri"/>
                <w:sz w:val="22"/>
              </w:rPr>
              <w:t>Equity Award Grant (A)</w:t>
            </w:r>
          </w:p>
        </w:tc>
        <w:tc>
          <w:tcPr>
            <w:tcW w:type="dxa" w:w="1440"/>
          </w:tcPr>
          <w:p>
            <w:r>
              <w:rPr>
                <w:rFonts w:ascii="Calibri" w:hAnsi="Calibri"/>
                <w:sz w:val="22"/>
              </w:rPr>
              <w:t>3,214 shares awarded</w:t>
            </w:r>
          </w:p>
        </w:tc>
        <w:tc>
          <w:tcPr>
            <w:tcW w:type="dxa" w:w="1440"/>
          </w:tcPr>
          <w:p>
            <w:r>
              <w:rPr>
                <w:rFonts w:ascii="Calibri" w:hAnsi="Calibri"/>
                <w:sz w:val="22"/>
              </w:rPr>
              <w:t>May 21, 2026</w:t>
            </w:r>
          </w:p>
        </w:tc>
        <w:tc>
          <w:tcPr>
            <w:tcW w:type="dxa" w:w="1440"/>
          </w:tcPr>
          <w:p>
            <w:r>
              <w:rPr>
                <w:rFonts w:ascii="Calibri" w:hAnsi="Calibri"/>
                <w:sz w:val="22"/>
              </w:rPr>
              <w:t>Routine annual director equity compensation</w:t>
            </w:r>
          </w:p>
        </w:tc>
      </w:tr>
      <w:tr>
        <w:tc>
          <w:tcPr>
            <w:tcW w:type="dxa" w:w="1440"/>
          </w:tcPr>
          <w:p>
            <w:r>
              <w:rPr>
                <w:rFonts w:ascii="Calibri" w:hAnsi="Calibri"/>
                <w:sz w:val="22"/>
              </w:rPr>
              <w:t>Hourihan Kimberly</w:t>
            </w:r>
          </w:p>
        </w:tc>
        <w:tc>
          <w:tcPr>
            <w:tcW w:type="dxa" w:w="1440"/>
          </w:tcPr>
          <w:p>
            <w:r>
              <w:rPr>
                <w:rFonts w:ascii="Calibri" w:hAnsi="Calibri"/>
                <w:sz w:val="22"/>
              </w:rPr>
              <w:t>Director</w:t>
            </w:r>
          </w:p>
        </w:tc>
        <w:tc>
          <w:tcPr>
            <w:tcW w:type="dxa" w:w="1440"/>
          </w:tcPr>
          <w:p>
            <w:r>
              <w:rPr>
                <w:rFonts w:ascii="Calibri" w:hAnsi="Calibri"/>
                <w:sz w:val="22"/>
              </w:rPr>
              <w:t>Equity Award Grant (A)</w:t>
            </w:r>
          </w:p>
        </w:tc>
        <w:tc>
          <w:tcPr>
            <w:tcW w:type="dxa" w:w="1440"/>
          </w:tcPr>
          <w:p>
            <w:r>
              <w:rPr>
                <w:rFonts w:ascii="Calibri" w:hAnsi="Calibri"/>
                <w:sz w:val="22"/>
              </w:rPr>
              <w:t>3,214 shares awarded</w:t>
            </w:r>
          </w:p>
        </w:tc>
        <w:tc>
          <w:tcPr>
            <w:tcW w:type="dxa" w:w="1440"/>
          </w:tcPr>
          <w:p>
            <w:r>
              <w:rPr>
                <w:rFonts w:ascii="Calibri" w:hAnsi="Calibri"/>
                <w:sz w:val="22"/>
              </w:rPr>
              <w:t>May 21, 2026</w:t>
            </w:r>
          </w:p>
        </w:tc>
        <w:tc>
          <w:tcPr>
            <w:tcW w:type="dxa" w:w="1440"/>
          </w:tcPr>
          <w:p>
            <w:r>
              <w:rPr>
                <w:rFonts w:ascii="Calibri" w:hAnsi="Calibri"/>
                <w:sz w:val="22"/>
              </w:rPr>
              <w:t>Routine annual director equity compensation</w:t>
            </w:r>
          </w:p>
        </w:tc>
      </w:tr>
      <w:tr>
        <w:tc>
          <w:tcPr>
            <w:tcW w:type="dxa" w:w="1440"/>
          </w:tcPr>
          <w:p>
            <w:r>
              <w:rPr>
                <w:rFonts w:ascii="Calibri" w:hAnsi="Calibri"/>
                <w:sz w:val="22"/>
              </w:rPr>
              <w:t>Huskins Priya Cherian</w:t>
            </w:r>
          </w:p>
        </w:tc>
        <w:tc>
          <w:tcPr>
            <w:tcW w:type="dxa" w:w="1440"/>
          </w:tcPr>
          <w:p>
            <w:r>
              <w:rPr>
                <w:rFonts w:ascii="Calibri" w:hAnsi="Calibri"/>
                <w:sz w:val="22"/>
              </w:rPr>
              <w:t>Director</w:t>
            </w:r>
          </w:p>
        </w:tc>
        <w:tc>
          <w:tcPr>
            <w:tcW w:type="dxa" w:w="1440"/>
          </w:tcPr>
          <w:p>
            <w:r>
              <w:rPr>
                <w:rFonts w:ascii="Calibri" w:hAnsi="Calibri"/>
                <w:sz w:val="22"/>
              </w:rPr>
              <w:t>Equity Award Grant (A)</w:t>
            </w:r>
          </w:p>
        </w:tc>
        <w:tc>
          <w:tcPr>
            <w:tcW w:type="dxa" w:w="1440"/>
          </w:tcPr>
          <w:p>
            <w:r>
              <w:rPr>
                <w:rFonts w:ascii="Calibri" w:hAnsi="Calibri"/>
                <w:sz w:val="22"/>
              </w:rPr>
              <w:t>3,214 shares awarded</w:t>
            </w:r>
          </w:p>
        </w:tc>
        <w:tc>
          <w:tcPr>
            <w:tcW w:type="dxa" w:w="1440"/>
          </w:tcPr>
          <w:p>
            <w:r>
              <w:rPr>
                <w:rFonts w:ascii="Calibri" w:hAnsi="Calibri"/>
                <w:sz w:val="22"/>
              </w:rPr>
              <w:t>May 21, 2026</w:t>
            </w:r>
          </w:p>
        </w:tc>
        <w:tc>
          <w:tcPr>
            <w:tcW w:type="dxa" w:w="1440"/>
          </w:tcPr>
          <w:p>
            <w:r>
              <w:rPr>
                <w:rFonts w:ascii="Calibri" w:hAnsi="Calibri"/>
                <w:sz w:val="22"/>
              </w:rPr>
              <w:t>Routine annual director equity compensation; held by trust</w:t>
            </w:r>
          </w:p>
        </w:tc>
      </w:tr>
      <w:tr>
        <w:tc>
          <w:tcPr>
            <w:tcW w:type="dxa" w:w="1440"/>
          </w:tcPr>
          <w:p>
            <w:r>
              <w:rPr>
                <w:rFonts w:ascii="Calibri" w:hAnsi="Calibri"/>
                <w:sz w:val="22"/>
              </w:rPr>
              <w:t>Jacobson Jeff A</w:t>
            </w:r>
          </w:p>
        </w:tc>
        <w:tc>
          <w:tcPr>
            <w:tcW w:type="dxa" w:w="1440"/>
          </w:tcPr>
          <w:p>
            <w:r>
              <w:rPr>
                <w:rFonts w:ascii="Calibri" w:hAnsi="Calibri"/>
                <w:sz w:val="22"/>
              </w:rPr>
              <w:t>Director</w:t>
            </w:r>
          </w:p>
        </w:tc>
        <w:tc>
          <w:tcPr>
            <w:tcW w:type="dxa" w:w="1440"/>
          </w:tcPr>
          <w:p>
            <w:r>
              <w:rPr>
                <w:rFonts w:ascii="Calibri" w:hAnsi="Calibri"/>
                <w:sz w:val="22"/>
              </w:rPr>
              <w:t>Equity Award Grant (A)</w:t>
            </w:r>
          </w:p>
        </w:tc>
        <w:tc>
          <w:tcPr>
            <w:tcW w:type="dxa" w:w="1440"/>
          </w:tcPr>
          <w:p>
            <w:r>
              <w:rPr>
                <w:rFonts w:ascii="Calibri" w:hAnsi="Calibri"/>
                <w:sz w:val="22"/>
              </w:rPr>
              <w:t>3,214 shares awarded</w:t>
            </w:r>
          </w:p>
        </w:tc>
        <w:tc>
          <w:tcPr>
            <w:tcW w:type="dxa" w:w="1440"/>
          </w:tcPr>
          <w:p>
            <w:r>
              <w:rPr>
                <w:rFonts w:ascii="Calibri" w:hAnsi="Calibri"/>
                <w:sz w:val="22"/>
              </w:rPr>
              <w:t>May 21, 2026</w:t>
            </w:r>
          </w:p>
        </w:tc>
        <w:tc>
          <w:tcPr>
            <w:tcW w:type="dxa" w:w="1440"/>
          </w:tcPr>
          <w:p>
            <w:r>
              <w:rPr>
                <w:rFonts w:ascii="Calibri" w:hAnsi="Calibri"/>
                <w:sz w:val="22"/>
              </w:rPr>
              <w:t>Routine annual director equity compensation</w:t>
            </w:r>
          </w:p>
        </w:tc>
      </w:tr>
      <w:tr>
        <w:tc>
          <w:tcPr>
            <w:tcW w:type="dxa" w:w="1440"/>
          </w:tcPr>
          <w:p>
            <w:r>
              <w:rPr>
                <w:rFonts w:ascii="Calibri" w:hAnsi="Calibri"/>
                <w:sz w:val="22"/>
              </w:rPr>
              <w:t>Lopez Gerardo I</w:t>
            </w:r>
          </w:p>
        </w:tc>
        <w:tc>
          <w:tcPr>
            <w:tcW w:type="dxa" w:w="1440"/>
          </w:tcPr>
          <w:p>
            <w:r>
              <w:rPr>
                <w:rFonts w:ascii="Calibri" w:hAnsi="Calibri"/>
                <w:sz w:val="22"/>
              </w:rPr>
              <w:t>Director</w:t>
            </w:r>
          </w:p>
        </w:tc>
        <w:tc>
          <w:tcPr>
            <w:tcW w:type="dxa" w:w="1440"/>
          </w:tcPr>
          <w:p>
            <w:r>
              <w:rPr>
                <w:rFonts w:ascii="Calibri" w:hAnsi="Calibri"/>
                <w:sz w:val="22"/>
              </w:rPr>
              <w:t>Equity Award Grant (A)</w:t>
            </w:r>
          </w:p>
        </w:tc>
        <w:tc>
          <w:tcPr>
            <w:tcW w:type="dxa" w:w="1440"/>
          </w:tcPr>
          <w:p>
            <w:r>
              <w:rPr>
                <w:rFonts w:ascii="Calibri" w:hAnsi="Calibri"/>
                <w:sz w:val="22"/>
              </w:rPr>
              <w:t>3,214 shares awarded</w:t>
            </w:r>
          </w:p>
        </w:tc>
        <w:tc>
          <w:tcPr>
            <w:tcW w:type="dxa" w:w="1440"/>
          </w:tcPr>
          <w:p>
            <w:r>
              <w:rPr>
                <w:rFonts w:ascii="Calibri" w:hAnsi="Calibri"/>
                <w:sz w:val="22"/>
              </w:rPr>
              <w:t>May 21, 2026</w:t>
            </w:r>
          </w:p>
        </w:tc>
        <w:tc>
          <w:tcPr>
            <w:tcW w:type="dxa" w:w="1440"/>
          </w:tcPr>
          <w:p>
            <w:r>
              <w:rPr>
                <w:rFonts w:ascii="Calibri" w:hAnsi="Calibri"/>
                <w:sz w:val="22"/>
              </w:rPr>
              <w:t>Routine annual director equity compensation</w:t>
            </w:r>
          </w:p>
        </w:tc>
      </w:tr>
      <w:tr>
        <w:tc>
          <w:tcPr>
            <w:tcW w:type="dxa" w:w="1440"/>
          </w:tcPr>
          <w:p>
            <w:r>
              <w:rPr>
                <w:rFonts w:ascii="Calibri" w:hAnsi="Calibri"/>
                <w:sz w:val="22"/>
              </w:rPr>
              <w:t>McKee Michael D</w:t>
            </w:r>
          </w:p>
        </w:tc>
        <w:tc>
          <w:tcPr>
            <w:tcW w:type="dxa" w:w="1440"/>
          </w:tcPr>
          <w:p>
            <w:r>
              <w:rPr>
                <w:rFonts w:ascii="Calibri" w:hAnsi="Calibri"/>
                <w:sz w:val="22"/>
              </w:rPr>
              <w:t>Director</w:t>
            </w:r>
          </w:p>
        </w:tc>
        <w:tc>
          <w:tcPr>
            <w:tcW w:type="dxa" w:w="1440"/>
          </w:tcPr>
          <w:p>
            <w:r>
              <w:rPr>
                <w:rFonts w:ascii="Calibri" w:hAnsi="Calibri"/>
                <w:sz w:val="22"/>
              </w:rPr>
              <w:t>Equity Award Grant (A)</w:t>
            </w:r>
          </w:p>
        </w:tc>
        <w:tc>
          <w:tcPr>
            <w:tcW w:type="dxa" w:w="1440"/>
          </w:tcPr>
          <w:p>
            <w:r>
              <w:rPr>
                <w:rFonts w:ascii="Calibri" w:hAnsi="Calibri"/>
                <w:sz w:val="22"/>
              </w:rPr>
              <w:t>3,214 shares awarded</w:t>
            </w:r>
          </w:p>
        </w:tc>
        <w:tc>
          <w:tcPr>
            <w:tcW w:type="dxa" w:w="1440"/>
          </w:tcPr>
          <w:p>
            <w:r>
              <w:rPr>
                <w:rFonts w:ascii="Calibri" w:hAnsi="Calibri"/>
                <w:sz w:val="22"/>
              </w:rPr>
              <w:t>May 21, 2026</w:t>
            </w:r>
          </w:p>
        </w:tc>
        <w:tc>
          <w:tcPr>
            <w:tcW w:type="dxa" w:w="1440"/>
          </w:tcPr>
          <w:p>
            <w:r>
              <w:rPr>
                <w:rFonts w:ascii="Calibri" w:hAnsi="Calibri"/>
                <w:sz w:val="22"/>
              </w:rPr>
              <w:t>Routine annual director equity compensation; held by trust</w:t>
            </w:r>
          </w:p>
        </w:tc>
      </w:tr>
      <w:tr>
        <w:tc>
          <w:tcPr>
            <w:tcW w:type="dxa" w:w="1440"/>
          </w:tcPr>
          <w:p>
            <w:r>
              <w:rPr>
                <w:rFonts w:ascii="Calibri" w:hAnsi="Calibri"/>
                <w:sz w:val="22"/>
              </w:rPr>
              <w:t>McLaughlin Gregory</w:t>
            </w:r>
          </w:p>
        </w:tc>
        <w:tc>
          <w:tcPr>
            <w:tcW w:type="dxa" w:w="1440"/>
          </w:tcPr>
          <w:p>
            <w:r>
              <w:rPr>
                <w:rFonts w:ascii="Calibri" w:hAnsi="Calibri"/>
                <w:sz w:val="22"/>
              </w:rPr>
              <w:t>Director</w:t>
            </w:r>
          </w:p>
        </w:tc>
        <w:tc>
          <w:tcPr>
            <w:tcW w:type="dxa" w:w="1440"/>
          </w:tcPr>
          <w:p>
            <w:r>
              <w:rPr>
                <w:rFonts w:ascii="Calibri" w:hAnsi="Calibri"/>
                <w:sz w:val="22"/>
              </w:rPr>
              <w:t>Equity Award Grant (A)</w:t>
            </w:r>
          </w:p>
        </w:tc>
        <w:tc>
          <w:tcPr>
            <w:tcW w:type="dxa" w:w="1440"/>
          </w:tcPr>
          <w:p>
            <w:r>
              <w:rPr>
                <w:rFonts w:ascii="Calibri" w:hAnsi="Calibri"/>
                <w:sz w:val="22"/>
              </w:rPr>
              <w:t>3,214 shares awarded</w:t>
            </w:r>
          </w:p>
        </w:tc>
        <w:tc>
          <w:tcPr>
            <w:tcW w:type="dxa" w:w="1440"/>
          </w:tcPr>
          <w:p>
            <w:r>
              <w:rPr>
                <w:rFonts w:ascii="Calibri" w:hAnsi="Calibri"/>
                <w:sz w:val="22"/>
              </w:rPr>
              <w:t>May 21, 2026</w:t>
            </w:r>
          </w:p>
        </w:tc>
        <w:tc>
          <w:tcPr>
            <w:tcW w:type="dxa" w:w="1440"/>
          </w:tcPr>
          <w:p>
            <w:r>
              <w:rPr>
                <w:rFonts w:ascii="Calibri" w:hAnsi="Calibri"/>
                <w:sz w:val="22"/>
              </w:rPr>
              <w:t>Routine annual director equity compensation; held by trust</w:t>
            </w:r>
          </w:p>
        </w:tc>
      </w:tr>
      <w:tr>
        <w:tc>
          <w:tcPr>
            <w:tcW w:type="dxa" w:w="1440"/>
          </w:tcPr>
          <w:p>
            <w:r>
              <w:rPr>
                <w:rFonts w:ascii="Calibri" w:hAnsi="Calibri"/>
                <w:sz w:val="22"/>
              </w:rPr>
              <w:t>Preusse Mary Hogan</w:t>
            </w:r>
          </w:p>
        </w:tc>
        <w:tc>
          <w:tcPr>
            <w:tcW w:type="dxa" w:w="1440"/>
          </w:tcPr>
          <w:p>
            <w:r>
              <w:rPr>
                <w:rFonts w:ascii="Calibri" w:hAnsi="Calibri"/>
                <w:sz w:val="22"/>
              </w:rPr>
              <w:t>Director</w:t>
            </w:r>
          </w:p>
        </w:tc>
        <w:tc>
          <w:tcPr>
            <w:tcW w:type="dxa" w:w="1440"/>
          </w:tcPr>
          <w:p>
            <w:r>
              <w:rPr>
                <w:rFonts w:ascii="Calibri" w:hAnsi="Calibri"/>
                <w:sz w:val="22"/>
              </w:rPr>
              <w:t>Equity Award Grant (A)</w:t>
            </w:r>
          </w:p>
        </w:tc>
        <w:tc>
          <w:tcPr>
            <w:tcW w:type="dxa" w:w="1440"/>
          </w:tcPr>
          <w:p>
            <w:r>
              <w:rPr>
                <w:rFonts w:ascii="Calibri" w:hAnsi="Calibri"/>
                <w:sz w:val="22"/>
              </w:rPr>
              <w:t>3,214 shares awarded</w:t>
            </w:r>
          </w:p>
        </w:tc>
        <w:tc>
          <w:tcPr>
            <w:tcW w:type="dxa" w:w="1440"/>
          </w:tcPr>
          <w:p>
            <w:r>
              <w:rPr>
                <w:rFonts w:ascii="Calibri" w:hAnsi="Calibri"/>
                <w:sz w:val="22"/>
              </w:rPr>
              <w:t>May 21, 2026</w:t>
            </w:r>
          </w:p>
        </w:tc>
        <w:tc>
          <w:tcPr>
            <w:tcW w:type="dxa" w:w="1440"/>
          </w:tcPr>
          <w:p>
            <w:r>
              <w:rPr>
                <w:rFonts w:ascii="Calibri" w:hAnsi="Calibri"/>
                <w:sz w:val="22"/>
              </w:rPr>
              <w:t>Routine annual director equity compensation</w:t>
            </w:r>
          </w:p>
        </w:tc>
      </w:tr>
    </w:tbl>
    <w:p>
      <w:r>
        <w:rPr>
          <w:rFonts w:ascii="Calibri" w:hAnsi="Calibri"/>
          <w:color w:val="525866"/>
          <w:sz w:val="22"/>
        </w:rPr>
        <w:t xml:space="preserve">Source: SEC Form 4 filings. All May 21, 2026 transactions are routine annual director equity award grants (Form 4 code A) filed simultaneously across the full board — not open-market purchases. The June 27, 2026 transaction by Redington Neale is a tax withholding share surrender (Form 4 code F), not a discretionary sale. </w:t>
      </w:r>
      <w:r>
        <w:rPr>
          <w:rFonts w:ascii="Calibri" w:hAnsi="Calibri"/>
          <w:b/>
          <w:color w:val="525866"/>
          <w:sz w:val="22"/>
        </w:rPr>
        <w:t>No open-market buys or discretionary sells were identified in the post-Q1 2026 earnings window. Insider activity is entirely obligation-driven and carries no directional signal.</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