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Realty Income Corporation (O)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Realty Income Corporation</w:t>
            </w:r>
          </w:p>
        </w:tc>
        <w:tc>
          <w:tcPr>
            <w:tcW w:type="dxa" w:w="2160"/>
          </w:tcPr>
          <w:p>
            <w:r>
              <w:rPr>
                <w:rFonts w:ascii="Calibri" w:hAnsi="Calibri"/>
                <w:b/>
                <w:sz w:val="22"/>
              </w:rPr>
              <w:t>Earnings Date</w:t>
            </w:r>
          </w:p>
        </w:tc>
        <w:tc>
          <w:tcPr>
            <w:tcW w:type="dxa" w:w="2160"/>
          </w:tcPr>
          <w:p>
            <w:r>
              <w:rPr>
                <w:rFonts w:ascii="Calibri" w:hAnsi="Calibri"/>
                <w:sz w:val="22"/>
              </w:rPr>
              <w:t>August 5, 2026 (After Market Close)</w:t>
            </w:r>
          </w:p>
        </w:tc>
      </w:tr>
      <w:tr>
        <w:tc>
          <w:tcPr>
            <w:tcW w:type="dxa" w:w="2160"/>
          </w:tcPr>
          <w:p>
            <w:r>
              <w:rPr>
                <w:rFonts w:ascii="Calibri" w:hAnsi="Calibri"/>
                <w:b/>
                <w:sz w:val="22"/>
              </w:rPr>
              <w:t>Ticker</w:t>
            </w:r>
          </w:p>
        </w:tc>
        <w:tc>
          <w:tcPr>
            <w:tcW w:type="dxa" w:w="2160"/>
          </w:tcPr>
          <w:p>
            <w:r>
              <w:rPr>
                <w:rFonts w:ascii="Calibri" w:hAnsi="Calibri"/>
                <w:sz w:val="22"/>
              </w:rPr>
              <w:t>O (NYSE)</w:t>
            </w:r>
          </w:p>
        </w:tc>
        <w:tc>
          <w:tcPr>
            <w:tcW w:type="dxa" w:w="2160"/>
          </w:tcPr>
          <w:p>
            <w:r>
              <w:rPr>
                <w:rFonts w:ascii="Calibri" w:hAnsi="Calibri"/>
                <w:b/>
                <w:sz w:val="22"/>
              </w:rPr>
              <w:t>Prepared</w:t>
            </w:r>
          </w:p>
        </w:tc>
        <w:tc>
          <w:tcPr>
            <w:tcW w:type="dxa" w:w="2160"/>
          </w:tcPr>
          <w:p>
            <w:r>
              <w:rPr>
                <w:rFonts w:ascii="Calibri" w:hAnsi="Calibri"/>
                <w:sz w:val="22"/>
              </w:rPr>
              <w:t>August 4, 2026</w:t>
            </w:r>
          </w:p>
        </w:tc>
      </w:tr>
      <w:tr>
        <w:tc>
          <w:tcPr>
            <w:tcW w:type="dxa" w:w="2160"/>
          </w:tcPr>
          <w:p>
            <w:r>
              <w:rPr>
                <w:rFonts w:ascii="Calibri" w:hAnsi="Calibri"/>
                <w:b/>
                <w:sz w:val="22"/>
              </w:rPr>
              <w:t>Reporting Period</w:t>
            </w:r>
          </w:p>
        </w:tc>
        <w:tc>
          <w:tcPr>
            <w:tcW w:type="dxa" w:w="2160"/>
          </w:tcPr>
          <w:p>
            <w:r>
              <w:rPr>
                <w:rFonts w:ascii="Calibri" w:hAnsi="Calibri"/>
                <w:sz w:val="22"/>
              </w:rPr>
              <w:t>Q2 2026 (ended June 30, 2026)</w:t>
            </w:r>
          </w:p>
        </w:tc>
        <w:tc>
          <w:tcPr>
            <w:tcW w:type="dxa" w:w="2160"/>
          </w:tcPr>
          <w:p>
            <w:r>
              <w:rPr>
                <w:rFonts w:ascii="Calibri" w:hAnsi="Calibri"/>
                <w:b/>
                <w:sz w:val="22"/>
              </w:rPr>
              <w:t>Sector / Sub-Sector</w:t>
            </w:r>
          </w:p>
        </w:tc>
        <w:tc>
          <w:tcPr>
            <w:tcW w:type="dxa" w:w="2160"/>
          </w:tcPr>
          <w:p>
            <w:r>
              <w:rPr>
                <w:rFonts w:ascii="Calibri" w:hAnsi="Calibri"/>
                <w:sz w:val="22"/>
              </w:rPr>
              <w:t>REIT — Net Lease Retail</w:t>
            </w:r>
          </w:p>
        </w:tc>
      </w:tr>
      <w:tr>
        <w:tc>
          <w:tcPr>
            <w:tcW w:type="dxa" w:w="2160"/>
          </w:tcPr>
          <w:p>
            <w:r>
              <w:rPr>
                <w:rFonts w:ascii="Calibri" w:hAnsi="Calibri"/>
                <w:b/>
                <w:sz w:val="22"/>
              </w:rPr>
              <w:t>Primary KPIs</w:t>
            </w:r>
          </w:p>
        </w:tc>
        <w:tc>
          <w:tcPr>
            <w:tcW w:type="dxa" w:w="2160"/>
          </w:tcPr>
          <w:p>
            <w:r>
              <w:rPr>
                <w:rFonts w:ascii="Calibri" w:hAnsi="Calibri"/>
                <w:sz w:val="22"/>
              </w:rPr>
              <w:t>AFFO per Share; Investment Volume</w:t>
            </w:r>
          </w:p>
        </w:tc>
        <w:tc>
          <w:tcPr>
            <w:tcW w:type="dxa" w:w="2160"/>
          </w:tcPr>
          <w:p>
            <w:r>
              <w:rPr>
                <w:rFonts w:ascii="Calibri" w:hAnsi="Calibri"/>
                <w:b/>
                <w:sz w:val="22"/>
              </w:rPr>
              <w:t>Primary Valuation Metric</w:t>
            </w:r>
          </w:p>
        </w:tc>
        <w:tc>
          <w:tcPr>
            <w:tcW w:type="dxa" w:w="2160"/>
          </w:tcPr>
          <w:p>
            <w:r>
              <w:rPr>
                <w:rFonts w:ascii="Calibri" w:hAnsi="Calibri"/>
                <w:sz w:val="22"/>
              </w:rPr>
              <w:t>P/AFFO (NTM)</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AFFO per share of $1.086 is an achievable bar given Q1's $1.13 beat and the full-year guidance raise, but the single biggest swing factor is whether Q2 investment volume tracks toward the raised $9.5B full-year target and whether lease termination income remains elevated or normalizes.</w:t>
      </w:r>
    </w:p>
    <w:p>
      <w:r>
        <w:rPr>
          <w:rFonts w:ascii="Calibri" w:hAnsi="Calibri"/>
          <w:color w:val="525866"/>
          <w:sz w:val="22"/>
        </w:rPr>
        <w:t xml:space="preserve">Heading into Q2 2026, the bar for Realty Income is manageable: consensus AFFO per share of ~$1.086 implies modest sequential deceleration from Q1's $1.13 (which benefited from $40.2M of outsized lease termination income management flagged as episodic), and the full-year guidance range of $4.41–$4.44 leaves room for a clean in-line or slight beat without requiring heroics. </w:t>
      </w:r>
      <w:r>
        <w:rPr>
          <w:rFonts w:ascii="Calibri" w:hAnsi="Calibri"/>
          <w:b/>
          <w:color w:val="525866"/>
          <w:sz w:val="22"/>
        </w:rPr>
        <w:t>Management's tone at the May 6 earnings call and the June 3 Nareit REITweek conference was notably confident</w:t>
      </w:r>
      <w:r>
        <w:rPr>
          <w:rFonts w:ascii="Calibri" w:hAnsi="Calibri"/>
          <w:color w:val="525866"/>
          <w:sz w:val="22"/>
        </w:rPr>
        <w:t xml:space="preserve"> — the investment volume guidance was raised from $8B to $9.5B, AFFO guidance was lifted by ~60bps at the midpoint, and the private capital ecosystem (Apollo $1B JV, GIC $1.5B build-to-suit JV, $1.7B Core Plus Fund cornerstone raise) was framed as a structural step-change in the platform. Estimate revisions have been modestly positive since the Q1 print, with the FY2026 AFFO consensus moving from $4.391 to $4.415, tracking just above the guidance midpoint. The stock has returned ~+4% over the past six months and ~+11% over the past twelve months, with performance driven primarily by earnings growth rather than multiple expansion (EV/EBITDA roughly flat at ~15.5x). </w:t>
      </w:r>
      <w:r>
        <w:rPr>
          <w:rFonts w:ascii="Calibri" w:hAnsi="Calibri"/>
          <w:b/>
          <w:color w:val="525866"/>
          <w:sz w:val="22"/>
        </w:rPr>
        <w:t>The key wildcard is the pace of Q2 investment deployment</w:t>
      </w:r>
      <w:r>
        <w:rPr>
          <w:rFonts w:ascii="Calibri" w:hAnsi="Calibri"/>
          <w:color w:val="525866"/>
          <w:sz w:val="22"/>
        </w:rPr>
        <w:t>: with $2.8B deployed in Q1 alone, the market will scrutinize whether the $9.5B full-year target is tracking on pace, and whether the Core Plus Fund reached full deployment as guided (by end of June / early July), which would validate the private capital strategy and support fee income visibility.</w:t>
      </w:r>
    </w:p>
    <w:p>
      <w:r>
        <w:rPr>
          <w:rFonts w:ascii="Calibri" w:hAnsi="Calibri"/>
          <w:b/>
          <w:color w:val="525866"/>
          <w:sz w:val="22"/>
        </w:rPr>
        <w:t xml:space="preserve">Bar: </w:t>
      </w:r>
      <w:r>
        <w:rPr>
          <w:rFonts w:ascii="Calibri" w:hAnsi="Calibri"/>
          <w:color w:val="525866"/>
          <w:sz w:val="22"/>
        </w:rPr>
        <w:t>Consensus AFFO/share of $1.086 is a low-to-moderate bar — Q1 came in at $1.13 (a ~$0.04 beat vs. consensus), and the full-year guidance midpoint of $4.425 implies ~$1.09–$1.10 per quarter for the remaining three quarters, suggesting the Street has already baked in some normalization of Q1's elevated lease termination income. Rental revenue consensus of ~$1.426B implies ~1% sequential growth, consistent with the contractual escalator profile.</w:t>
      </w:r>
    </w:p>
    <w:p>
      <w:r>
        <w:rPr>
          <w:rFonts w:ascii="Calibri" w:hAnsi="Calibri"/>
          <w:b/>
          <w:color w:val="525866"/>
          <w:sz w:val="22"/>
        </w:rPr>
        <w:t xml:space="preserve">Guidance / Tone: </w:t>
      </w:r>
      <w:r>
        <w:rPr>
          <w:rFonts w:ascii="Calibri" w:hAnsi="Calibri"/>
          <w:color w:val="525866"/>
          <w:sz w:val="22"/>
        </w:rPr>
        <w:t>Management's posture has shifted meaningfully more confident since the Q4 2025 call — the investment volume guidance raise to $9.5B (from $8B initial) and the completion of three distinct private capital vehicles signal accelerated platform scaling. At Nareit REITweek (June 3), CEO Sumit Roy reiterated the 8%–10% total return target and described the investment pipeline as balanced 50/50 U.S./Europe, a shift from the prior Europe-heavy skew.</w:t>
      </w:r>
    </w:p>
    <w:p>
      <w:r>
        <w:rPr>
          <w:rFonts w:ascii="Calibri" w:hAnsi="Calibri"/>
          <w:b/>
          <w:color w:val="525866"/>
          <w:sz w:val="22"/>
        </w:rPr>
        <w:t xml:space="preserve">Estimate Trajectory: </w:t>
      </w:r>
      <w:r>
        <w:rPr>
          <w:rFonts w:ascii="Calibri" w:hAnsi="Calibri"/>
          <w:color w:val="525866"/>
          <w:sz w:val="22"/>
        </w:rPr>
        <w:t>FY2026 AFFO consensus has risen from $4.391 (as of May 13, 2026) to $4.415 currently — a modest +$0.024 revision tracking just above the guidance midpoint of $4.425. Q2 2026 AFFO consensus has moved from $1.083 to $1.086, a negligible revision. Revisions are tracking with guidance rather than diverging, suggesting the Street is not pricing in meaningful upside beyond the raised guide — which represents a modest cushion rather than a stretched bar.</w:t>
      </w:r>
    </w:p>
    <w:p>
      <w:r>
        <w:rPr>
          <w:rFonts w:ascii="Calibri" w:hAnsi="Calibri"/>
          <w:b/>
          <w:color w:val="525866"/>
          <w:sz w:val="22"/>
        </w:rPr>
        <w:t xml:space="preserve">Stock Setup: </w:t>
      </w:r>
      <w:r>
        <w:rPr>
          <w:rFonts w:ascii="Calibri" w:hAnsi="Calibri"/>
          <w:color w:val="525866"/>
          <w:sz w:val="22"/>
        </w:rPr>
        <w:t>O trades at ~15.5x NTM EV/EBITDA, roughly in line with its recent range and modestly below the retail REIT sector average of ~14–15x P/FFO. The stock's +11% twelve-month return has been driven primarily by earnings growth (P/E multiple essentially flat at ~37x), suggesting the market is not pricing in a significant beat premium. The stock is not stretched, and a clean in-line print with maintained guidance should be well-received.</w:t>
      </w:r>
    </w:p>
    <w:p>
      <w:r>
        <w:rPr>
          <w:rFonts w:ascii="Calibri" w:hAnsi="Calibri"/>
          <w:b/>
          <w:color w:val="525866"/>
          <w:sz w:val="22"/>
        </w:rPr>
        <w:t xml:space="preserve">Wildcard: </w:t>
      </w:r>
      <w:r>
        <w:rPr>
          <w:rFonts w:ascii="Calibri" w:hAnsi="Calibri"/>
          <w:color w:val="525866"/>
          <w:sz w:val="22"/>
        </w:rPr>
        <w:t>Lease termination income. Q1's $40.2M was flagged as episodic and tied to post-M&amp;A portfolio cleanup. If Q2 termination income normalizes sharply below the $45–50M full-year guidance range, AFFO could miss consensus despite solid core operations. Conversely, if the Core Plus Fund confirms full deployment and management provides early color on the next capital raise, the private capital narrative could re-rate the stock higher.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AFFO/share ($1.086 vs. Q1 actual of $1.13), with the bigger swing factor being investment volume — the market will want to see Q2 deployment tracking toward the raised $9.5B full-year target. Rental revenue consensus of $1.426B implies modest sequential growth consistent with contractual escalators.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AFFO per Share ($)</w:t>
            </w:r>
          </w:p>
        </w:tc>
        <w:tc>
          <w:tcPr>
            <w:tcW w:type="dxa" w:w="1234"/>
          </w:tcPr>
          <w:p>
            <w:r>
              <w:rPr>
                <w:rFonts w:ascii="Calibri" w:hAnsi="Calibri"/>
                <w:sz w:val="22"/>
              </w:rPr>
              <w:t>$1.13</w:t>
            </w:r>
          </w:p>
        </w:tc>
        <w:tc>
          <w:tcPr>
            <w:tcW w:type="dxa" w:w="1234"/>
          </w:tcPr>
          <w:p>
            <w:r>
              <w:rPr>
                <w:rFonts w:ascii="Calibri" w:hAnsi="Calibri"/>
                <w:sz w:val="22"/>
              </w:rPr>
              <w:t>$1.05</w:t>
            </w:r>
          </w:p>
        </w:tc>
        <w:tc>
          <w:tcPr>
            <w:tcW w:type="dxa" w:w="1234"/>
          </w:tcPr>
          <w:p>
            <w:r>
              <w:rPr>
                <w:rFonts w:ascii="Calibri" w:hAnsi="Calibri"/>
                <w:sz w:val="22"/>
              </w:rPr>
              <w:t>$1.086</w:t>
            </w:r>
          </w:p>
        </w:tc>
        <w:tc>
          <w:tcPr>
            <w:tcW w:type="dxa" w:w="1234"/>
          </w:tcPr>
          <w:p>
            <w:r>
              <w:rPr>
                <w:rFonts w:ascii="Calibri" w:hAnsi="Calibri"/>
                <w:b/>
                <w:color w:val="30A46C"/>
                <w:sz w:val="22"/>
              </w:rPr>
              <w:t>+3.4% YoY</w:t>
            </w:r>
          </w:p>
        </w:tc>
        <w:tc>
          <w:tcPr>
            <w:tcW w:type="dxa" w:w="1234"/>
          </w:tcPr>
          <w:p>
            <w:r>
              <w:rPr>
                <w:rFonts w:ascii="Calibri" w:hAnsi="Calibri"/>
                <w:sz w:val="22"/>
              </w:rPr>
              <w:t>$4.41–$4.44 (FY)</w:t>
            </w:r>
          </w:p>
        </w:tc>
        <w:tc>
          <w:tcPr>
            <w:tcW w:type="dxa" w:w="1234"/>
          </w:tcPr>
          <w:p>
            <w:r>
              <w:rPr>
                <w:rFonts w:ascii="Calibri" w:hAnsi="Calibri"/>
                <w:sz w:val="22"/>
              </w:rPr>
              <w:t>-0.2% vs. midpoint ($4.425)</w:t>
            </w:r>
          </w:p>
        </w:tc>
      </w:tr>
      <w:tr>
        <w:tc>
          <w:tcPr>
            <w:tcW w:type="dxa" w:w="1234"/>
          </w:tcPr>
          <w:p>
            <w:r>
              <w:rPr>
                <w:rFonts w:ascii="Calibri" w:hAnsi="Calibri"/>
                <w:sz w:val="22"/>
              </w:rPr>
              <w:t>Rental Revenue ($M)</w:t>
            </w:r>
          </w:p>
        </w:tc>
        <w:tc>
          <w:tcPr>
            <w:tcW w:type="dxa" w:w="1234"/>
          </w:tcPr>
          <w:p>
            <w:r>
              <w:rPr>
                <w:rFonts w:ascii="Calibri" w:hAnsi="Calibri"/>
                <w:sz w:val="22"/>
              </w:rPr>
              <w:t>$1,440.8M</w:t>
            </w:r>
          </w:p>
        </w:tc>
        <w:tc>
          <w:tcPr>
            <w:tcW w:type="dxa" w:w="1234"/>
          </w:tcPr>
          <w:p>
            <w:r>
              <w:rPr>
                <w:rFonts w:ascii="Calibri" w:hAnsi="Calibri"/>
                <w:sz w:val="22"/>
              </w:rPr>
              <w:t>$1,338.2M</w:t>
            </w:r>
          </w:p>
        </w:tc>
        <w:tc>
          <w:tcPr>
            <w:tcW w:type="dxa" w:w="1234"/>
          </w:tcPr>
          <w:p>
            <w:r>
              <w:rPr>
                <w:rFonts w:ascii="Calibri" w:hAnsi="Calibri"/>
                <w:sz w:val="22"/>
              </w:rPr>
              <w:t>$1,426.3M</w:t>
            </w:r>
          </w:p>
        </w:tc>
        <w:tc>
          <w:tcPr>
            <w:tcW w:type="dxa" w:w="1234"/>
          </w:tcPr>
          <w:p>
            <w:r>
              <w:rPr>
                <w:rFonts w:ascii="Calibri" w:hAnsi="Calibri"/>
                <w:b/>
                <w:color w:val="30A46C"/>
                <w:sz w:val="22"/>
              </w:rPr>
              <w:t>+6.6% YoY</w:t>
            </w:r>
          </w:p>
        </w:tc>
        <w:tc>
          <w:tcPr>
            <w:tcW w:type="dxa" w:w="1234"/>
          </w:tcPr>
          <w:p>
            <w:r>
              <w:rPr>
                <w:rFonts w:ascii="Calibri" w:hAnsi="Calibri"/>
                <w:sz w:val="22"/>
              </w:rPr>
              <w:t>N/A — no quarterly rev. guidance</w:t>
            </w:r>
          </w:p>
        </w:tc>
        <w:tc>
          <w:tcPr>
            <w:tcW w:type="dxa" w:w="1234"/>
          </w:tcPr>
          <w:p>
            <w:r>
              <w:rPr>
                <w:rFonts w:ascii="Calibri" w:hAnsi="Calibri"/>
                <w:sz w:val="22"/>
              </w:rPr>
              <w:t>N/A</w:t>
            </w:r>
          </w:p>
        </w:tc>
      </w:tr>
      <w:tr>
        <w:tc>
          <w:tcPr>
            <w:tcW w:type="dxa" w:w="1234"/>
          </w:tcPr>
          <w:p>
            <w:r>
              <w:rPr>
                <w:rFonts w:ascii="Calibri" w:hAnsi="Calibri"/>
                <w:sz w:val="22"/>
              </w:rPr>
              <w:t>Investment Volume ($M)</w:t>
            </w:r>
          </w:p>
        </w:tc>
        <w:tc>
          <w:tcPr>
            <w:tcW w:type="dxa" w:w="1234"/>
          </w:tcPr>
          <w:p>
            <w:r>
              <w:rPr>
                <w:rFonts w:ascii="Calibri" w:hAnsi="Calibri"/>
                <w:sz w:val="22"/>
              </w:rPr>
              <w:t>~$2,800M</w:t>
            </w:r>
          </w:p>
        </w:tc>
        <w:tc>
          <w:tcPr>
            <w:tcW w:type="dxa" w:w="1234"/>
          </w:tcPr>
          <w:p>
            <w:r>
              <w:rPr>
                <w:rFonts w:ascii="Calibri" w:hAnsi="Calibri"/>
                <w:sz w:val="22"/>
              </w:rPr>
              <w:t>$870.7M</w:t>
            </w:r>
          </w:p>
        </w:tc>
        <w:tc>
          <w:tcPr>
            <w:tcW w:type="dxa" w:w="1234"/>
          </w:tcPr>
          <w:p>
            <w:r>
              <w:rPr>
                <w:rFonts w:ascii="Calibri" w:hAnsi="Calibri"/>
                <w:sz w:val="22"/>
              </w:rPr>
              <w:t>$1,964.2M (cons.)</w:t>
            </w:r>
          </w:p>
        </w:tc>
        <w:tc>
          <w:tcPr>
            <w:tcW w:type="dxa" w:w="1234"/>
          </w:tcPr>
          <w:p>
            <w:r>
              <w:rPr>
                <w:rFonts w:ascii="Calibri" w:hAnsi="Calibri"/>
                <w:b/>
                <w:color w:val="30A46C"/>
                <w:sz w:val="22"/>
              </w:rPr>
              <w:t>+125.6% YoY</w:t>
            </w:r>
          </w:p>
        </w:tc>
        <w:tc>
          <w:tcPr>
            <w:tcW w:type="dxa" w:w="1234"/>
          </w:tcPr>
          <w:p>
            <w:r>
              <w:rPr>
                <w:rFonts w:ascii="Calibri" w:hAnsi="Calibri"/>
                <w:sz w:val="22"/>
              </w:rPr>
              <w:t>$9,500M (FY, raised from $8,000M)</w:t>
            </w:r>
          </w:p>
        </w:tc>
        <w:tc>
          <w:tcPr>
            <w:tcW w:type="dxa" w:w="1234"/>
          </w:tcPr>
          <w:p>
            <w:r>
              <w:rPr>
                <w:rFonts w:ascii="Calibri" w:hAnsi="Calibri"/>
                <w:sz w:val="22"/>
              </w:rPr>
              <w:t>FY cons. $7,972M vs. $9,500M guide: -16.1%</w:t>
            </w:r>
          </w:p>
        </w:tc>
      </w:tr>
      <w:tr>
        <w:tc>
          <w:tcPr>
            <w:tcW w:type="dxa" w:w="1234"/>
          </w:tcPr>
          <w:p>
            <w:r>
              <w:rPr>
                <w:rFonts w:ascii="Calibri" w:hAnsi="Calibri"/>
                <w:sz w:val="22"/>
              </w:rPr>
              <w:t>Occupancy Rate (%)</w:t>
            </w:r>
          </w:p>
        </w:tc>
        <w:tc>
          <w:tcPr>
            <w:tcW w:type="dxa" w:w="1234"/>
          </w:tcPr>
          <w:p>
            <w:r>
              <w:rPr>
                <w:rFonts w:ascii="Calibri" w:hAnsi="Calibri"/>
                <w:sz w:val="22"/>
              </w:rPr>
              <w:t>98.9%</w:t>
            </w:r>
          </w:p>
        </w:tc>
        <w:tc>
          <w:tcPr>
            <w:tcW w:type="dxa" w:w="1234"/>
          </w:tcPr>
          <w:p>
            <w:r>
              <w:rPr>
                <w:rFonts w:ascii="Calibri" w:hAnsi="Calibri"/>
                <w:sz w:val="22"/>
              </w:rPr>
              <w:t>98.6%</w:t>
            </w:r>
          </w:p>
        </w:tc>
        <w:tc>
          <w:tcPr>
            <w:tcW w:type="dxa" w:w="1234"/>
          </w:tcPr>
          <w:p>
            <w:r>
              <w:rPr>
                <w:rFonts w:ascii="Calibri" w:hAnsi="Calibri"/>
                <w:sz w:val="22"/>
              </w:rPr>
              <w:t>98.8%</w:t>
            </w:r>
          </w:p>
        </w:tc>
        <w:tc>
          <w:tcPr>
            <w:tcW w:type="dxa" w:w="1234"/>
          </w:tcPr>
          <w:p>
            <w:r>
              <w:rPr>
                <w:rFonts w:ascii="Calibri" w:hAnsi="Calibri"/>
                <w:sz w:val="22"/>
              </w:rPr>
              <w:t>+20 bps YoY</w:t>
            </w:r>
          </w:p>
        </w:tc>
        <w:tc>
          <w:tcPr>
            <w:tcW w:type="dxa" w:w="1234"/>
          </w:tcPr>
          <w:p>
            <w:r>
              <w:rPr>
                <w:rFonts w:ascii="Calibri" w:hAnsi="Calibri"/>
                <w:sz w:val="22"/>
              </w:rPr>
              <w:t>N/A — no explicit guidance</w:t>
            </w:r>
          </w:p>
        </w:tc>
        <w:tc>
          <w:tcPr>
            <w:tcW w:type="dxa" w:w="1234"/>
          </w:tcPr>
          <w:p>
            <w:r>
              <w:rPr>
                <w:rFonts w:ascii="Calibri" w:hAnsi="Calibri"/>
                <w:sz w:val="22"/>
              </w:rPr>
              <w:t>N/A</w:t>
            </w:r>
          </w:p>
        </w:tc>
      </w:tr>
      <w:tr>
        <w:tc>
          <w:tcPr>
            <w:tcW w:type="dxa" w:w="1234"/>
          </w:tcPr>
          <w:p>
            <w:r>
              <w:rPr>
                <w:rFonts w:ascii="Calibri" w:hAnsi="Calibri"/>
                <w:sz w:val="22"/>
              </w:rPr>
              <w:t>Same-Store NOI Growth (%)</w:t>
            </w:r>
          </w:p>
        </w:tc>
        <w:tc>
          <w:tcPr>
            <w:tcW w:type="dxa" w:w="1234"/>
          </w:tcPr>
          <w:p>
            <w:r>
              <w:rPr>
                <w:rFonts w:ascii="Calibri" w:hAnsi="Calibri"/>
                <w:sz w:val="22"/>
              </w:rPr>
              <w:t>0.85%</w:t>
            </w:r>
          </w:p>
        </w:tc>
        <w:tc>
          <w:tcPr>
            <w:tcW w:type="dxa" w:w="1234"/>
          </w:tcPr>
          <w:p>
            <w:r>
              <w:rPr>
                <w:rFonts w:ascii="Calibri" w:hAnsi="Calibri"/>
                <w:sz w:val="22"/>
              </w:rPr>
              <w:t>1.10%</w:t>
            </w:r>
          </w:p>
        </w:tc>
        <w:tc>
          <w:tcPr>
            <w:tcW w:type="dxa" w:w="1234"/>
          </w:tcPr>
          <w:p>
            <w:r>
              <w:rPr>
                <w:rFonts w:ascii="Calibri" w:hAnsi="Calibri"/>
                <w:sz w:val="22"/>
              </w:rPr>
              <w:t>1.50% (cons.)</w:t>
            </w:r>
          </w:p>
        </w:tc>
        <w:tc>
          <w:tcPr>
            <w:tcW w:type="dxa" w:w="1234"/>
          </w:tcPr>
          <w:p>
            <w:r>
              <w:rPr>
                <w:rFonts w:ascii="Calibri" w:hAnsi="Calibri"/>
                <w:sz w:val="22"/>
              </w:rPr>
              <w:t>+40 bps YoY</w:t>
            </w:r>
          </w:p>
        </w:tc>
        <w:tc>
          <w:tcPr>
            <w:tcW w:type="dxa" w:w="1234"/>
          </w:tcPr>
          <w:p>
            <w:r>
              <w:rPr>
                <w:rFonts w:ascii="Calibri" w:hAnsi="Calibri"/>
                <w:sz w:val="22"/>
              </w:rPr>
              <w:t>~1.0–1.5% (implied)</w:t>
            </w:r>
          </w:p>
        </w:tc>
        <w:tc>
          <w:tcPr>
            <w:tcW w:type="dxa" w:w="1234"/>
          </w:tcPr>
          <w:p>
            <w:r>
              <w:rPr>
                <w:rFonts w:ascii="Calibri" w:hAnsi="Calibri"/>
                <w:sz w:val="22"/>
              </w:rPr>
              <w:t>At high end of implied range</w:t>
            </w:r>
          </w:p>
        </w:tc>
      </w:tr>
      <w:tr>
        <w:tc>
          <w:tcPr>
            <w:tcW w:type="dxa" w:w="1234"/>
          </w:tcPr>
          <w:p>
            <w:r>
              <w:rPr>
                <w:rFonts w:ascii="Calibri" w:hAnsi="Calibri"/>
                <w:sz w:val="22"/>
              </w:rPr>
              <w:t>FFO per Share ($)</w:t>
            </w:r>
          </w:p>
        </w:tc>
        <w:tc>
          <w:tcPr>
            <w:tcW w:type="dxa" w:w="1234"/>
          </w:tcPr>
          <w:p>
            <w:r>
              <w:rPr>
                <w:rFonts w:ascii="Calibri" w:hAnsi="Calibri"/>
                <w:sz w:val="22"/>
              </w:rPr>
              <w:t>N/A — not separately reported</w:t>
            </w:r>
          </w:p>
        </w:tc>
        <w:tc>
          <w:tcPr>
            <w:tcW w:type="dxa" w:w="1234"/>
          </w:tcPr>
          <w:p>
            <w:r>
              <w:rPr>
                <w:rFonts w:ascii="Calibri" w:hAnsi="Calibri"/>
                <w:sz w:val="22"/>
              </w:rPr>
              <w:t>N/A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Investment Volume Q2 2026 consensus reflects acquisitions during period estimate. FY2026 investment volume guidance of $9.5B raised at Q1 2026 earnings (May 6, 2026). Note: Investment volume consensus of $7.97B FY vs. $9.5B guidance reflects the Street not yet fully incorporating the raised guide — a potential source of upside surprise if deployment pace holds.</w:t>
      </w:r>
    </w:p>
    <w:p>
      <w:pPr>
        <w:pStyle w:val="Heading3"/>
      </w:pPr>
      <w:r>
        <w:rPr>
          <w:rFonts w:ascii="Calibri" w:hAnsi="Calibri"/>
          <w:b/>
          <w:color w:val="3B4259"/>
          <w:sz w:val="24"/>
        </w:rPr>
        <w:t>Table 2 — Beat / Miss History (Last 8 Quarters, Top 2 KPIs)</w:t>
      </w:r>
    </w:p>
    <w:p>
      <w:r>
        <w:rPr>
          <w:rFonts w:ascii="Calibri" w:hAnsi="Calibri"/>
          <w:b/>
          <w:color w:val="525866"/>
          <w:sz w:val="22"/>
        </w:rPr>
        <w:t>KPI 1: AFFO per Share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$1.13</w:t>
            </w:r>
          </w:p>
        </w:tc>
        <w:tc>
          <w:tcPr>
            <w:tcW w:type="dxa" w:w="1728"/>
          </w:tcPr>
          <w:p>
            <w:r>
              <w:rPr>
                <w:rFonts w:ascii="Calibri" w:hAnsi="Calibri"/>
                <w:sz w:val="22"/>
              </w:rPr>
              <w:t>$1.089</w:t>
            </w:r>
          </w:p>
        </w:tc>
        <w:tc>
          <w:tcPr>
            <w:tcW w:type="dxa" w:w="1728"/>
          </w:tcPr>
          <w:p>
            <w:r>
              <w:rPr>
                <w:rFonts w:ascii="Calibri" w:hAnsi="Calibri"/>
                <w:b/>
                <w:color w:val="30A46C"/>
                <w:sz w:val="22"/>
              </w:rPr>
              <w:t>+3.8%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$1.08</w:t>
            </w:r>
          </w:p>
        </w:tc>
        <w:tc>
          <w:tcPr>
            <w:tcW w:type="dxa" w:w="1728"/>
          </w:tcPr>
          <w:p>
            <w:r>
              <w:rPr>
                <w:rFonts w:ascii="Calibri" w:hAnsi="Calibri"/>
                <w:sz w:val="22"/>
              </w:rPr>
              <w:t>$1.069</w:t>
            </w:r>
          </w:p>
        </w:tc>
        <w:tc>
          <w:tcPr>
            <w:tcW w:type="dxa" w:w="1728"/>
          </w:tcPr>
          <w:p>
            <w:r>
              <w:rPr>
                <w:rFonts w:ascii="Calibri" w:hAnsi="Calibri"/>
                <w:b/>
                <w:color w:val="30A46C"/>
                <w:sz w:val="22"/>
              </w:rPr>
              <w:t>+1.0%</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$1.08</w:t>
            </w:r>
          </w:p>
        </w:tc>
        <w:tc>
          <w:tcPr>
            <w:tcW w:type="dxa" w:w="1728"/>
          </w:tcPr>
          <w:p>
            <w:r>
              <w:rPr>
                <w:rFonts w:ascii="Calibri" w:hAnsi="Calibri"/>
                <w:sz w:val="22"/>
              </w:rPr>
              <w:t>$1.068</w:t>
            </w:r>
          </w:p>
        </w:tc>
        <w:tc>
          <w:tcPr>
            <w:tcW w:type="dxa" w:w="1728"/>
          </w:tcPr>
          <w:p>
            <w:r>
              <w:rPr>
                <w:rFonts w:ascii="Calibri" w:hAnsi="Calibri"/>
                <w:b/>
                <w:color w:val="30A46C"/>
                <w:sz w:val="22"/>
              </w:rPr>
              <w:t>+1.1%</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$1.05</w:t>
            </w:r>
          </w:p>
        </w:tc>
        <w:tc>
          <w:tcPr>
            <w:tcW w:type="dxa" w:w="1728"/>
          </w:tcPr>
          <w:p>
            <w:r>
              <w:rPr>
                <w:rFonts w:ascii="Calibri" w:hAnsi="Calibri"/>
                <w:sz w:val="22"/>
              </w:rPr>
              <w:t>$1.058</w:t>
            </w:r>
          </w:p>
        </w:tc>
        <w:tc>
          <w:tcPr>
            <w:tcW w:type="dxa" w:w="1728"/>
          </w:tcPr>
          <w:p>
            <w:r>
              <w:rPr>
                <w:rFonts w:ascii="Calibri" w:hAnsi="Calibri"/>
                <w:b/>
                <w:color w:val="E5484D"/>
                <w:sz w:val="22"/>
              </w:rPr>
              <w:t>-0.8%</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$1.06</w:t>
            </w:r>
          </w:p>
        </w:tc>
        <w:tc>
          <w:tcPr>
            <w:tcW w:type="dxa" w:w="1728"/>
          </w:tcPr>
          <w:p>
            <w:r>
              <w:rPr>
                <w:rFonts w:ascii="Calibri" w:hAnsi="Calibri"/>
                <w:sz w:val="22"/>
              </w:rPr>
              <w:t>$1.052</w:t>
            </w:r>
          </w:p>
        </w:tc>
        <w:tc>
          <w:tcPr>
            <w:tcW w:type="dxa" w:w="1728"/>
          </w:tcPr>
          <w:p>
            <w:r>
              <w:rPr>
                <w:rFonts w:ascii="Calibri" w:hAnsi="Calibri"/>
                <w:b/>
                <w:color w:val="30A46C"/>
                <w:sz w:val="22"/>
              </w:rPr>
              <w:t>+0.8%</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$1.05</w:t>
            </w:r>
          </w:p>
        </w:tc>
        <w:tc>
          <w:tcPr>
            <w:tcW w:type="dxa" w:w="1728"/>
          </w:tcPr>
          <w:p>
            <w:r>
              <w:rPr>
                <w:rFonts w:ascii="Calibri" w:hAnsi="Calibri"/>
                <w:sz w:val="22"/>
              </w:rPr>
              <w:t>$1.052</w:t>
            </w:r>
          </w:p>
        </w:tc>
        <w:tc>
          <w:tcPr>
            <w:tcW w:type="dxa" w:w="1728"/>
          </w:tcPr>
          <w:p>
            <w:r>
              <w:rPr>
                <w:rFonts w:ascii="Calibri" w:hAnsi="Calibri"/>
                <w:b/>
                <w:color w:val="E5484D"/>
                <w:sz w:val="22"/>
              </w:rPr>
              <w:t>-0.2%</w:t>
            </w:r>
          </w:p>
        </w:tc>
        <w:tc>
          <w:tcPr>
            <w:tcW w:type="dxa" w:w="1728"/>
          </w:tcPr>
          <w:p>
            <w:r>
              <w:rPr>
                <w:rFonts w:ascii="Calibri" w:hAnsi="Calibri"/>
                <w:sz w:val="22"/>
              </w:rPr>
              <w:t>In-Line / Slight Miss</w:t>
            </w:r>
          </w:p>
        </w:tc>
      </w:tr>
      <w:tr>
        <w:tc>
          <w:tcPr>
            <w:tcW w:type="dxa" w:w="1728"/>
          </w:tcPr>
          <w:p>
            <w:r>
              <w:rPr>
                <w:rFonts w:ascii="Calibri" w:hAnsi="Calibri"/>
                <w:sz w:val="22"/>
              </w:rPr>
              <w:t>Q3 2024</w:t>
            </w:r>
          </w:p>
        </w:tc>
        <w:tc>
          <w:tcPr>
            <w:tcW w:type="dxa" w:w="1728"/>
          </w:tcPr>
          <w:p>
            <w:r>
              <w:rPr>
                <w:rFonts w:ascii="Calibri" w:hAnsi="Calibri"/>
                <w:sz w:val="22"/>
              </w:rPr>
              <w:t>$1.05</w:t>
            </w:r>
          </w:p>
        </w:tc>
        <w:tc>
          <w:tcPr>
            <w:tcW w:type="dxa" w:w="1728"/>
          </w:tcPr>
          <w:p>
            <w:r>
              <w:rPr>
                <w:rFonts w:ascii="Calibri" w:hAnsi="Calibri"/>
                <w:sz w:val="22"/>
              </w:rPr>
              <w:t>$1.044</w:t>
            </w:r>
          </w:p>
        </w:tc>
        <w:tc>
          <w:tcPr>
            <w:tcW w:type="dxa" w:w="1728"/>
          </w:tcPr>
          <w:p>
            <w:r>
              <w:rPr>
                <w:rFonts w:ascii="Calibri" w:hAnsi="Calibri"/>
                <w:b/>
                <w:color w:val="30A46C"/>
                <w:sz w:val="22"/>
              </w:rPr>
              <w:t>+0.6%</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actuals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color w:val="525866"/>
          <w:sz w:val="22"/>
        </w:rPr>
        <w:t>Pattern: O has beaten AFFO/share consensus in 5 of the last 7 reported quarters, with the one notable miss in Q2 2025 (the trough quarter). The Q1 2026 beat of +3.8% was the largest in recent history, driven by elevated lease termination income — the Street has partially normalized this in Q2 estimates.</w:t>
      </w:r>
    </w:p>
    <w:p>
      <w:r>
        <w:rPr>
          <w:rFonts w:ascii="Calibri" w:hAnsi="Calibri"/>
          <w:b/>
          <w:color w:val="525866"/>
          <w:sz w:val="22"/>
        </w:rPr>
        <w:t>KPI 2: Rental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$1,440.8M</w:t>
            </w:r>
          </w:p>
        </w:tc>
        <w:tc>
          <w:tcPr>
            <w:tcW w:type="dxa" w:w="1728"/>
          </w:tcPr>
          <w:p>
            <w:r>
              <w:rPr>
                <w:rFonts w:ascii="Calibri" w:hAnsi="Calibri"/>
                <w:sz w:val="22"/>
              </w:rPr>
              <w:t>$1,401.6M</w:t>
            </w:r>
          </w:p>
        </w:tc>
        <w:tc>
          <w:tcPr>
            <w:tcW w:type="dxa" w:w="1728"/>
          </w:tcPr>
          <w:p>
            <w:r>
              <w:rPr>
                <w:rFonts w:ascii="Calibri" w:hAnsi="Calibri"/>
                <w:b/>
                <w:color w:val="30A46C"/>
                <w:sz w:val="22"/>
              </w:rPr>
              <w:t>+2.8%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$1,399.6M</w:t>
            </w:r>
          </w:p>
        </w:tc>
        <w:tc>
          <w:tcPr>
            <w:tcW w:type="dxa" w:w="1728"/>
          </w:tcPr>
          <w:p>
            <w:r>
              <w:rPr>
                <w:rFonts w:ascii="Calibri" w:hAnsi="Calibri"/>
                <w:sz w:val="22"/>
              </w:rPr>
              <w:t>$1,368.8M</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$1,386.5M</w:t>
            </w:r>
          </w:p>
        </w:tc>
        <w:tc>
          <w:tcPr>
            <w:tcW w:type="dxa" w:w="1728"/>
          </w:tcPr>
          <w:p>
            <w:r>
              <w:rPr>
                <w:rFonts w:ascii="Calibri" w:hAnsi="Calibri"/>
                <w:sz w:val="22"/>
              </w:rPr>
              <w:t>$1,345.8M</w:t>
            </w:r>
          </w:p>
        </w:tc>
        <w:tc>
          <w:tcPr>
            <w:tcW w:type="dxa" w:w="1728"/>
          </w:tcPr>
          <w:p>
            <w:r>
              <w:rPr>
                <w:rFonts w:ascii="Calibri" w:hAnsi="Calibri"/>
                <w:b/>
                <w:color w:val="30A46C"/>
                <w:sz w:val="22"/>
              </w:rPr>
              <w:t>+3.0%</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$1,338.2M</w:t>
            </w:r>
          </w:p>
        </w:tc>
        <w:tc>
          <w:tcPr>
            <w:tcW w:type="dxa" w:w="1728"/>
          </w:tcPr>
          <w:p>
            <w:r>
              <w:rPr>
                <w:rFonts w:ascii="Calibri" w:hAnsi="Calibri"/>
                <w:sz w:val="22"/>
              </w:rPr>
              <w:t>$1,319.1M</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$1,313.1M</w:t>
            </w:r>
          </w:p>
        </w:tc>
        <w:tc>
          <w:tcPr>
            <w:tcW w:type="dxa" w:w="1728"/>
          </w:tcPr>
          <w:p>
            <w:r>
              <w:rPr>
                <w:rFonts w:ascii="Calibri" w:hAnsi="Calibri"/>
                <w:sz w:val="22"/>
              </w:rPr>
              <w:t>$1,296.9M</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$1,279.7M</w:t>
            </w:r>
          </w:p>
        </w:tc>
        <w:tc>
          <w:tcPr>
            <w:tcW w:type="dxa" w:w="1728"/>
          </w:tcPr>
          <w:p>
            <w:r>
              <w:rPr>
                <w:rFonts w:ascii="Calibri" w:hAnsi="Calibri"/>
                <w:sz w:val="22"/>
              </w:rPr>
              <w:t>$1,287.5M</w:t>
            </w:r>
          </w:p>
        </w:tc>
        <w:tc>
          <w:tcPr>
            <w:tcW w:type="dxa" w:w="1728"/>
          </w:tcPr>
          <w:p>
            <w:r>
              <w:rPr>
                <w:rFonts w:ascii="Calibri" w:hAnsi="Calibri"/>
                <w:b/>
                <w:color w:val="E5484D"/>
                <w:sz w:val="22"/>
              </w:rPr>
              <w:t>-0.6%</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$1,271.2M</w:t>
            </w:r>
          </w:p>
        </w:tc>
        <w:tc>
          <w:tcPr>
            <w:tcW w:type="dxa" w:w="1728"/>
          </w:tcPr>
          <w:p>
            <w:r>
              <w:rPr>
                <w:rFonts w:ascii="Calibri" w:hAnsi="Calibri"/>
                <w:sz w:val="22"/>
              </w:rPr>
              <w:t>$1,277.8M</w:t>
            </w:r>
          </w:p>
        </w:tc>
        <w:tc>
          <w:tcPr>
            <w:tcW w:type="dxa" w:w="1728"/>
          </w:tcPr>
          <w:p>
            <w:r>
              <w:rPr>
                <w:rFonts w:ascii="Calibri" w:hAnsi="Calibri"/>
                <w:b/>
                <w:color w:val="E5484D"/>
                <w:sz w:val="22"/>
              </w:rPr>
              <w:t>-0.5%</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 — not in VA actuals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color w:val="525866"/>
          <w:sz w:val="22"/>
        </w:rPr>
        <w:t>Pattern: Rental revenue has beaten consensus in 5 of the last 7 reported quarters, with the two misses concentrated in Q3–Q4 2024 (the trough period). The acceleration in beat magnitude since Q1 2025 reflects the ramp of European investments and the private capital vehicles. The Q2 2026 consensus of $1,426.3M implies a modest sequential step-down from Q1's $1,440.8M, which is conservative given the investment volume trajectory.</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moved materially higher since the Q4 2025 earnings call — investment volume raised +$1.5B to $9.5B and AFFO guidance lifted ~60bps at the midpoint. Tone has shifted from cautiously optimistic to explicitly confident, with management targeting double-digit total operational returns and framing the private capital ecosystem as a structural platform evolution.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AFFO per Share</w:t>
            </w:r>
          </w:p>
        </w:tc>
        <w:tc>
          <w:tcPr>
            <w:tcW w:type="dxa" w:w="1728"/>
          </w:tcPr>
          <w:p>
            <w:r>
              <w:rPr>
                <w:rFonts w:ascii="Calibri" w:hAnsi="Calibri"/>
                <w:sz w:val="22"/>
              </w:rPr>
              <w:t>$4.38–$4.42</w:t>
            </w:r>
          </w:p>
        </w:tc>
        <w:tc>
          <w:tcPr>
            <w:tcW w:type="dxa" w:w="1728"/>
          </w:tcPr>
          <w:p>
            <w:r>
              <w:rPr>
                <w:rFonts w:ascii="Calibri" w:hAnsi="Calibri"/>
                <w:sz w:val="22"/>
              </w:rPr>
              <w:t>$4.41–$4.44</w:t>
            </w:r>
          </w:p>
        </w:tc>
        <w:tc>
          <w:tcPr>
            <w:tcW w:type="dxa" w:w="1728"/>
          </w:tcPr>
          <w:p>
            <w:r>
              <w:rPr>
                <w:rFonts w:ascii="Calibri" w:hAnsi="Calibri"/>
                <w:sz w:val="22"/>
              </w:rPr>
              <w:t>$4.415</w:t>
            </w:r>
          </w:p>
        </w:tc>
        <w:tc>
          <w:tcPr>
            <w:tcW w:type="dxa" w:w="1728"/>
          </w:tcPr>
          <w:p>
            <w:r>
              <w:rPr>
                <w:rFonts w:ascii="Calibri" w:hAnsi="Calibri"/>
                <w:sz w:val="22"/>
              </w:rPr>
              <w:t>↑ Raised at Q1 2026 earnings (May 6, 2026); midpoint +$0.025 / +60bps; driven by strong Q1 deployment and private capital fee income ramp. Consensus sits just below guidance midpoint ($4.425).</w:t>
            </w:r>
          </w:p>
        </w:tc>
      </w:tr>
      <w:tr>
        <w:tc>
          <w:tcPr>
            <w:tcW w:type="dxa" w:w="1728"/>
          </w:tcPr>
          <w:p>
            <w:r>
              <w:rPr>
                <w:rFonts w:ascii="Calibri" w:hAnsi="Calibri"/>
                <w:sz w:val="22"/>
              </w:rPr>
              <w:t>FY2026 Investment Volume</w:t>
            </w:r>
          </w:p>
        </w:tc>
        <w:tc>
          <w:tcPr>
            <w:tcW w:type="dxa" w:w="1728"/>
          </w:tcPr>
          <w:p>
            <w:r>
              <w:rPr>
                <w:rFonts w:ascii="Calibri" w:hAnsi="Calibri"/>
                <w:sz w:val="22"/>
              </w:rPr>
              <w:t>~$8.0B</w:t>
            </w:r>
          </w:p>
        </w:tc>
        <w:tc>
          <w:tcPr>
            <w:tcW w:type="dxa" w:w="1728"/>
          </w:tcPr>
          <w:p>
            <w:r>
              <w:rPr>
                <w:rFonts w:ascii="Calibri" w:hAnsi="Calibri"/>
                <w:sz w:val="22"/>
              </w:rPr>
              <w:t>$9.5B (100% ownership)</w:t>
            </w:r>
          </w:p>
        </w:tc>
        <w:tc>
          <w:tcPr>
            <w:tcW w:type="dxa" w:w="1728"/>
          </w:tcPr>
          <w:p>
            <w:r>
              <w:rPr>
                <w:rFonts w:ascii="Calibri" w:hAnsi="Calibri"/>
                <w:sz w:val="22"/>
              </w:rPr>
              <w:t>$7.97B (FY cons.)</w:t>
            </w:r>
          </w:p>
        </w:tc>
        <w:tc>
          <w:tcPr>
            <w:tcW w:type="dxa" w:w="1728"/>
          </w:tcPr>
          <w:p>
            <w:r>
              <w:rPr>
                <w:rFonts w:ascii="Calibri" w:hAnsi="Calibri"/>
                <w:sz w:val="22"/>
              </w:rPr>
              <w:t>↑ Raised at Q1 2026 earnings (May 6, 2026); +$1.5B increase driven by Apollo JV, GIC partnership, and Core Plus Fund deployment. Street consensus of $7.97B significantly below guidance — potential upside catalyst if Q2 deployment confirms pace.</w:t>
            </w:r>
          </w:p>
        </w:tc>
      </w:tr>
      <w:tr>
        <w:tc>
          <w:tcPr>
            <w:tcW w:type="dxa" w:w="1728"/>
          </w:tcPr>
          <w:p>
            <w:r>
              <w:rPr>
                <w:rFonts w:ascii="Calibri" w:hAnsi="Calibri"/>
                <w:sz w:val="22"/>
              </w:rPr>
              <w:t>FY2026 Lease Termination Income</w:t>
            </w:r>
          </w:p>
        </w:tc>
        <w:tc>
          <w:tcPr>
            <w:tcW w:type="dxa" w:w="1728"/>
          </w:tcPr>
          <w:p>
            <w:r>
              <w:rPr>
                <w:rFonts w:ascii="Calibri" w:hAnsi="Calibri"/>
                <w:sz w:val="22"/>
              </w:rPr>
              <w:t>$40–$45M</w:t>
            </w:r>
          </w:p>
        </w:tc>
        <w:tc>
          <w:tcPr>
            <w:tcW w:type="dxa" w:w="1728"/>
          </w:tcPr>
          <w:p>
            <w:r>
              <w:rPr>
                <w:rFonts w:ascii="Calibri" w:hAnsi="Calibri"/>
                <w:sz w:val="22"/>
              </w:rPr>
              <w:t>$45–$50M</w:t>
            </w:r>
          </w:p>
        </w:tc>
        <w:tc>
          <w:tcPr>
            <w:tcW w:type="dxa" w:w="1728"/>
          </w:tcPr>
          <w:p>
            <w:r>
              <w:rPr>
                <w:rFonts w:ascii="Calibri" w:hAnsi="Calibri"/>
                <w:sz w:val="22"/>
              </w:rPr>
              <w:t>N/A — not tracked in VA</w:t>
            </w:r>
          </w:p>
        </w:tc>
        <w:tc>
          <w:tcPr>
            <w:tcW w:type="dxa" w:w="1728"/>
          </w:tcPr>
          <w:p>
            <w:r>
              <w:rPr>
                <w:rFonts w:ascii="Calibri" w:hAnsi="Calibri"/>
                <w:sz w:val="22"/>
              </w:rPr>
              <w:t>↑ Raised at Q1 2026 earnings (May 6, 2026); Q1 alone generated $40.2M. Management flagged as episodic / post-M&amp;A cleanup driven — key risk if Q2 normalizes sharply.</w:t>
            </w:r>
          </w:p>
        </w:tc>
      </w:tr>
      <w:tr>
        <w:tc>
          <w:tcPr>
            <w:tcW w:type="dxa" w:w="1728"/>
          </w:tcPr>
          <w:p>
            <w:r>
              <w:rPr>
                <w:rFonts w:ascii="Calibri" w:hAnsi="Calibri"/>
                <w:sz w:val="22"/>
              </w:rPr>
              <w:t>FY2026 Credit Loss Assumption</w:t>
            </w:r>
          </w:p>
        </w:tc>
        <w:tc>
          <w:tcPr>
            <w:tcW w:type="dxa" w:w="1728"/>
          </w:tcPr>
          <w:p>
            <w:r>
              <w:rPr>
                <w:rFonts w:ascii="Calibri" w:hAnsi="Calibri"/>
                <w:sz w:val="22"/>
              </w:rPr>
              <w:t>~75 bps of rental revenue</w:t>
            </w:r>
          </w:p>
        </w:tc>
        <w:tc>
          <w:tcPr>
            <w:tcW w:type="dxa" w:w="1728"/>
          </w:tcPr>
          <w:p>
            <w:r>
              <w:rPr>
                <w:rFonts w:ascii="Calibri" w:hAnsi="Calibri"/>
                <w:sz w:val="22"/>
              </w:rPr>
              <w:t>~40 bps of rental revenue</w:t>
            </w:r>
          </w:p>
        </w:tc>
        <w:tc>
          <w:tcPr>
            <w:tcW w:type="dxa" w:w="1728"/>
          </w:tcPr>
          <w:p>
            <w:r>
              <w:rPr>
                <w:rFonts w:ascii="Calibri" w:hAnsi="Calibri"/>
                <w:sz w:val="22"/>
              </w:rPr>
              <w:t>N/A — not tracked in VA</w:t>
            </w:r>
          </w:p>
        </w:tc>
        <w:tc>
          <w:tcPr>
            <w:tcW w:type="dxa" w:w="1728"/>
          </w:tcPr>
          <w:p>
            <w:r>
              <w:rPr>
                <w:rFonts w:ascii="Calibri" w:hAnsi="Calibri"/>
                <w:sz w:val="22"/>
              </w:rPr>
              <w:t>↓ Lowered at Q1 2026 earnings (May 6, 2026); reflects improved portfolio visibility and tenant health. Positive for AFFO quality.</w:t>
            </w:r>
          </w:p>
        </w:tc>
      </w:tr>
      <w:tr>
        <w:tc>
          <w:tcPr>
            <w:tcW w:type="dxa" w:w="1728"/>
          </w:tcPr>
          <w:p>
            <w:r>
              <w:rPr>
                <w:rFonts w:ascii="Calibri" w:hAnsi="Calibri"/>
                <w:sz w:val="22"/>
              </w:rPr>
              <w:t>FY2026 Dispositions</w:t>
            </w:r>
          </w:p>
        </w:tc>
        <w:tc>
          <w:tcPr>
            <w:tcW w:type="dxa" w:w="1728"/>
          </w:tcPr>
          <w:p>
            <w:r>
              <w:rPr>
                <w:rFonts w:ascii="Calibri" w:hAnsi="Calibri"/>
                <w:sz w:val="22"/>
              </w:rPr>
              <w:t>$600–$800M</w:t>
            </w:r>
          </w:p>
        </w:tc>
        <w:tc>
          <w:tcPr>
            <w:tcW w:type="dxa" w:w="1728"/>
          </w:tcPr>
          <w:p>
            <w:r>
              <w:rPr>
                <w:rFonts w:ascii="Calibri" w:hAnsi="Calibri"/>
                <w:sz w:val="22"/>
              </w:rPr>
              <w:t>~$750M (unchanged)</w:t>
            </w:r>
          </w:p>
        </w:tc>
        <w:tc>
          <w:tcPr>
            <w:tcW w:type="dxa" w:w="1728"/>
          </w:tcPr>
          <w:p>
            <w:r>
              <w:rPr>
                <w:rFonts w:ascii="Calibri" w:hAnsi="Calibri"/>
                <w:sz w:val="22"/>
              </w:rPr>
              <w:t>N/A</w:t>
            </w:r>
          </w:p>
        </w:tc>
        <w:tc>
          <w:tcPr>
            <w:tcW w:type="dxa" w:w="1728"/>
          </w:tcPr>
          <w:p>
            <w:r>
              <w:rPr>
                <w:rFonts w:ascii="Calibri" w:hAnsi="Calibri"/>
                <w:sz w:val="22"/>
              </w:rPr>
              <w:t>Unchanged since Q1 earnings; capital recycling remains a key funding lever alongside ~$900–$950M of free cash flow.</w:t>
            </w:r>
          </w:p>
        </w:tc>
      </w:tr>
      <w:tr>
        <w:tc>
          <w:tcPr>
            <w:tcW w:type="dxa" w:w="1728"/>
          </w:tcPr>
          <w:p>
            <w:r>
              <w:rPr>
                <w:rFonts w:ascii="Calibri" w:hAnsi="Calibri"/>
                <w:sz w:val="22"/>
              </w:rPr>
              <w:t>Net Debt / EBITDA Target</w:t>
            </w:r>
          </w:p>
        </w:tc>
        <w:tc>
          <w:tcPr>
            <w:tcW w:type="dxa" w:w="1728"/>
          </w:tcPr>
          <w:p>
            <w:r>
              <w:rPr>
                <w:rFonts w:ascii="Calibri" w:hAnsi="Calibri"/>
                <w:sz w:val="22"/>
              </w:rPr>
              <w:t>Mid-5x range</w:t>
            </w:r>
          </w:p>
        </w:tc>
        <w:tc>
          <w:tcPr>
            <w:tcW w:type="dxa" w:w="1728"/>
          </w:tcPr>
          <w:p>
            <w:r>
              <w:rPr>
                <w:rFonts w:ascii="Calibri" w:hAnsi="Calibri"/>
                <w:sz w:val="22"/>
              </w:rPr>
              <w:t>5.2x (Q1 actual); 4.9x incl. forward equity</w:t>
            </w:r>
          </w:p>
        </w:tc>
        <w:tc>
          <w:tcPr>
            <w:tcW w:type="dxa" w:w="1728"/>
          </w:tcPr>
          <w:p>
            <w:r>
              <w:rPr>
                <w:rFonts w:ascii="Calibri" w:hAnsi="Calibri"/>
                <w:sz w:val="22"/>
              </w:rPr>
              <w:t>N/A</w:t>
            </w:r>
          </w:p>
        </w:tc>
        <w:tc>
          <w:tcPr>
            <w:tcW w:type="dxa" w:w="1728"/>
          </w:tcPr>
          <w:p>
            <w:r>
              <w:rPr>
                <w:rFonts w:ascii="Calibri" w:hAnsi="Calibri"/>
                <w:sz w:val="22"/>
              </w:rPr>
              <w:t>Within target range; management comfortable at current leverage. No change to target.</w:t>
            </w:r>
          </w:p>
        </w:tc>
      </w:tr>
    </w:tbl>
    <w:p>
      <w:r>
        <w:rPr>
          <w:rFonts w:ascii="Calibri" w:hAnsi="Calibri"/>
          <w:i/>
          <w:color w:val="525866"/>
          <w:sz w:val="22"/>
        </w:rPr>
        <w:t>Source: Q1 2026 Earnings Call (May 6, 2026); Nareit REITweek Conference (June 3,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Q1 print, tracking just below the raised guidance midpoint — the gap between the Street's FY2026 investment volume consensus ($7.97B) and management's $9.5B guide is the most notable divergence and represents the clearest potential upside catalyst if Q2 deployment confirms the pace.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13,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w:t>
            </w:r>
          </w:p>
        </w:tc>
      </w:tr>
      <w:tr>
        <w:tc>
          <w:tcPr>
            <w:tcW w:type="dxa" w:w="1080"/>
          </w:tcPr>
          <w:p>
            <w:r>
              <w:rPr>
                <w:rFonts w:ascii="Calibri" w:hAnsi="Calibri"/>
                <w:sz w:val="22"/>
              </w:rPr>
              <w:t>AFFO/Share (Q2 2026)</w:t>
            </w:r>
          </w:p>
        </w:tc>
        <w:tc>
          <w:tcPr>
            <w:tcW w:type="dxa" w:w="1080"/>
          </w:tcPr>
          <w:p>
            <w:r>
              <w:rPr>
                <w:rFonts w:ascii="Calibri" w:hAnsi="Calibri"/>
                <w:sz w:val="22"/>
              </w:rPr>
              <w:t>$1.083</w:t>
            </w:r>
          </w:p>
        </w:tc>
        <w:tc>
          <w:tcPr>
            <w:tcW w:type="dxa" w:w="1080"/>
          </w:tcPr>
          <w:p>
            <w:r>
              <w:rPr>
                <w:rFonts w:ascii="Calibri" w:hAnsi="Calibri"/>
                <w:sz w:val="22"/>
              </w:rPr>
              <w:t>$1.086</w:t>
            </w:r>
          </w:p>
        </w:tc>
        <w:tc>
          <w:tcPr>
            <w:tcW w:type="dxa" w:w="1080"/>
          </w:tcPr>
          <w:p>
            <w:r>
              <w:rPr>
                <w:rFonts w:ascii="Calibri" w:hAnsi="Calibri"/>
                <w:b/>
                <w:color w:val="30A46C"/>
                <w:sz w:val="22"/>
              </w:rPr>
              <w:t>+0.3%</w:t>
            </w:r>
          </w:p>
        </w:tc>
        <w:tc>
          <w:tcPr>
            <w:tcW w:type="dxa" w:w="1080"/>
          </w:tcPr>
          <w:p>
            <w:r>
              <w:rPr>
                <w:rFonts w:ascii="Calibri" w:hAnsi="Calibri"/>
                <w:sz w:val="22"/>
              </w:rPr>
              <w:t>N/A (quarterly not guided)</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AFFO/Share (FY2026)</w:t>
            </w:r>
          </w:p>
        </w:tc>
        <w:tc>
          <w:tcPr>
            <w:tcW w:type="dxa" w:w="1080"/>
          </w:tcPr>
          <w:p>
            <w:r>
              <w:rPr>
                <w:rFonts w:ascii="Calibri" w:hAnsi="Calibri"/>
                <w:sz w:val="22"/>
              </w:rPr>
              <w:t>$4.391</w:t>
            </w:r>
          </w:p>
        </w:tc>
        <w:tc>
          <w:tcPr>
            <w:tcW w:type="dxa" w:w="1080"/>
          </w:tcPr>
          <w:p>
            <w:r>
              <w:rPr>
                <w:rFonts w:ascii="Calibri" w:hAnsi="Calibri"/>
                <w:sz w:val="22"/>
              </w:rPr>
              <w:t>$4.415</w:t>
            </w:r>
          </w:p>
        </w:tc>
        <w:tc>
          <w:tcPr>
            <w:tcW w:type="dxa" w:w="1080"/>
          </w:tcPr>
          <w:p>
            <w:r>
              <w:rPr>
                <w:rFonts w:ascii="Calibri" w:hAnsi="Calibri"/>
                <w:b/>
                <w:color w:val="30A46C"/>
                <w:sz w:val="22"/>
              </w:rPr>
              <w:t>+0.5%</w:t>
            </w:r>
          </w:p>
        </w:tc>
        <w:tc>
          <w:tcPr>
            <w:tcW w:type="dxa" w:w="1080"/>
          </w:tcPr>
          <w:p>
            <w:r>
              <w:rPr>
                <w:rFonts w:ascii="Calibri" w:hAnsi="Calibri"/>
                <w:sz w:val="22"/>
              </w:rPr>
              <w:t>$4.38–$4.42 (mid: $4.40)</w:t>
            </w:r>
          </w:p>
        </w:tc>
        <w:tc>
          <w:tcPr>
            <w:tcW w:type="dxa" w:w="1080"/>
          </w:tcPr>
          <w:p>
            <w:r>
              <w:rPr>
                <w:rFonts w:ascii="Calibri" w:hAnsi="Calibri"/>
                <w:sz w:val="22"/>
              </w:rPr>
              <w:t>$4.41–$4.44 (mid: $4.425)</w:t>
            </w:r>
          </w:p>
        </w:tc>
        <w:tc>
          <w:tcPr>
            <w:tcW w:type="dxa" w:w="1080"/>
          </w:tcPr>
          <w:p>
            <w:r>
              <w:rPr>
                <w:rFonts w:ascii="Calibri" w:hAnsi="Calibri"/>
                <w:sz w:val="22"/>
              </w:rPr>
              <w:t>+$0.025 / +0.6%</w:t>
            </w:r>
          </w:p>
        </w:tc>
        <w:tc>
          <w:tcPr>
            <w:tcW w:type="dxa" w:w="1080"/>
          </w:tcPr>
          <w:p>
            <w:r>
              <w:rPr>
                <w:rFonts w:ascii="Calibri" w:hAnsi="Calibri"/>
                <w:sz w:val="22"/>
              </w:rPr>
              <w:t>-0.2% below midpoint</w:t>
            </w:r>
          </w:p>
        </w:tc>
      </w:tr>
      <w:tr>
        <w:tc>
          <w:tcPr>
            <w:tcW w:type="dxa" w:w="1080"/>
          </w:tcPr>
          <w:p>
            <w:r>
              <w:rPr>
                <w:rFonts w:ascii="Calibri" w:hAnsi="Calibri"/>
                <w:sz w:val="22"/>
              </w:rPr>
              <w:t>Rental Revenue (Q2 2026)</w:t>
            </w:r>
          </w:p>
        </w:tc>
        <w:tc>
          <w:tcPr>
            <w:tcW w:type="dxa" w:w="1080"/>
          </w:tcPr>
          <w:p>
            <w:r>
              <w:rPr>
                <w:rFonts w:ascii="Calibri" w:hAnsi="Calibri"/>
                <w:sz w:val="22"/>
              </w:rPr>
              <w:t>$1,421.2M</w:t>
            </w:r>
          </w:p>
        </w:tc>
        <w:tc>
          <w:tcPr>
            <w:tcW w:type="dxa" w:w="1080"/>
          </w:tcPr>
          <w:p>
            <w:r>
              <w:rPr>
                <w:rFonts w:ascii="Calibri" w:hAnsi="Calibri"/>
                <w:sz w:val="22"/>
              </w:rPr>
              <w:t>$1,426.3M</w:t>
            </w:r>
          </w:p>
        </w:tc>
        <w:tc>
          <w:tcPr>
            <w:tcW w:type="dxa" w:w="1080"/>
          </w:tcPr>
          <w:p>
            <w:r>
              <w:rPr>
                <w:rFonts w:ascii="Calibri" w:hAnsi="Calibri"/>
                <w:b/>
                <w:color w:val="30A46C"/>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Rental Revenue (FY2026)</w:t>
            </w:r>
          </w:p>
        </w:tc>
        <w:tc>
          <w:tcPr>
            <w:tcW w:type="dxa" w:w="1080"/>
          </w:tcPr>
          <w:p>
            <w:r>
              <w:rPr>
                <w:rFonts w:ascii="Calibri" w:hAnsi="Calibri"/>
                <w:sz w:val="22"/>
              </w:rPr>
              <w:t>$5,733.2M</w:t>
            </w:r>
          </w:p>
        </w:tc>
        <w:tc>
          <w:tcPr>
            <w:tcW w:type="dxa" w:w="1080"/>
          </w:tcPr>
          <w:p>
            <w:r>
              <w:rPr>
                <w:rFonts w:ascii="Calibri" w:hAnsi="Calibri"/>
                <w:sz w:val="22"/>
              </w:rPr>
              <w:t>$5,763.7M</w:t>
            </w:r>
          </w:p>
        </w:tc>
        <w:tc>
          <w:tcPr>
            <w:tcW w:type="dxa" w:w="1080"/>
          </w:tcPr>
          <w:p>
            <w:r>
              <w:rPr>
                <w:rFonts w:ascii="Calibri" w:hAnsi="Calibri"/>
                <w:b/>
                <w:color w:val="30A46C"/>
                <w:sz w:val="22"/>
              </w:rPr>
              <w:t>+0.5%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Investment Volume (Q2 2026)</w:t>
            </w:r>
          </w:p>
        </w:tc>
        <w:tc>
          <w:tcPr>
            <w:tcW w:type="dxa" w:w="1080"/>
          </w:tcPr>
          <w:p>
            <w:r>
              <w:rPr>
                <w:rFonts w:ascii="Calibri" w:hAnsi="Calibri"/>
                <w:sz w:val="22"/>
              </w:rPr>
              <w:t>$1,790.0M</w:t>
            </w:r>
          </w:p>
        </w:tc>
        <w:tc>
          <w:tcPr>
            <w:tcW w:type="dxa" w:w="1080"/>
          </w:tcPr>
          <w:p>
            <w:r>
              <w:rPr>
                <w:rFonts w:ascii="Calibri" w:hAnsi="Calibri"/>
                <w:sz w:val="22"/>
              </w:rPr>
              <w:t>$1,964.2M</w:t>
            </w:r>
          </w:p>
        </w:tc>
        <w:tc>
          <w:tcPr>
            <w:tcW w:type="dxa" w:w="1080"/>
          </w:tcPr>
          <w:p>
            <w:r>
              <w:rPr>
                <w:rFonts w:ascii="Calibri" w:hAnsi="Calibri"/>
                <w:b/>
                <w:color w:val="30A46C"/>
                <w:sz w:val="22"/>
              </w:rPr>
              <w:t>+9.7%</w:t>
            </w:r>
          </w:p>
        </w:tc>
        <w:tc>
          <w:tcPr>
            <w:tcW w:type="dxa" w:w="1080"/>
          </w:tcPr>
          <w:p>
            <w:r>
              <w:rPr>
                <w:rFonts w:ascii="Calibri" w:hAnsi="Calibri"/>
                <w:sz w:val="22"/>
              </w:rPr>
              <w:t>N/A (quarterly not guided)</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Investment Volume (FY2026)</w:t>
            </w:r>
          </w:p>
        </w:tc>
        <w:tc>
          <w:tcPr>
            <w:tcW w:type="dxa" w:w="1080"/>
          </w:tcPr>
          <w:p>
            <w:r>
              <w:rPr>
                <w:rFonts w:ascii="Calibri" w:hAnsi="Calibri"/>
                <w:sz w:val="22"/>
              </w:rPr>
              <w:t>$7,330.5M</w:t>
            </w:r>
          </w:p>
        </w:tc>
        <w:tc>
          <w:tcPr>
            <w:tcW w:type="dxa" w:w="1080"/>
          </w:tcPr>
          <w:p>
            <w:r>
              <w:rPr>
                <w:rFonts w:ascii="Calibri" w:hAnsi="Calibri"/>
                <w:sz w:val="22"/>
              </w:rPr>
              <w:t>$7,972.0M</w:t>
            </w:r>
          </w:p>
        </w:tc>
        <w:tc>
          <w:tcPr>
            <w:tcW w:type="dxa" w:w="1080"/>
          </w:tcPr>
          <w:p>
            <w:r>
              <w:rPr>
                <w:rFonts w:ascii="Calibri" w:hAnsi="Calibri"/>
                <w:b/>
                <w:color w:val="30A46C"/>
                <w:sz w:val="22"/>
              </w:rPr>
              <w:t>+8.8%</w:t>
            </w:r>
          </w:p>
        </w:tc>
        <w:tc>
          <w:tcPr>
            <w:tcW w:type="dxa" w:w="1080"/>
          </w:tcPr>
          <w:p>
            <w:r>
              <w:rPr>
                <w:rFonts w:ascii="Calibri" w:hAnsi="Calibri"/>
                <w:sz w:val="22"/>
              </w:rPr>
              <w:t>$8,000M</w:t>
            </w:r>
          </w:p>
        </w:tc>
        <w:tc>
          <w:tcPr>
            <w:tcW w:type="dxa" w:w="1080"/>
          </w:tcPr>
          <w:p>
            <w:r>
              <w:rPr>
                <w:rFonts w:ascii="Calibri" w:hAnsi="Calibri"/>
                <w:sz w:val="22"/>
              </w:rPr>
              <w:t>$9,500M</w:t>
            </w:r>
          </w:p>
        </w:tc>
        <w:tc>
          <w:tcPr>
            <w:tcW w:type="dxa" w:w="1080"/>
          </w:tcPr>
          <w:p>
            <w:r>
              <w:rPr>
                <w:rFonts w:ascii="Calibri" w:hAnsi="Calibri"/>
                <w:sz w:val="22"/>
              </w:rPr>
              <w:t>+$1,500M / +18.8%</w:t>
            </w:r>
          </w:p>
        </w:tc>
        <w:tc>
          <w:tcPr>
            <w:tcW w:type="dxa" w:w="1080"/>
          </w:tcPr>
          <w:p>
            <w:r>
              <w:rPr>
                <w:rFonts w:ascii="Calibri" w:hAnsi="Calibri"/>
                <w:b/>
                <w:color w:val="E5484D"/>
                <w:sz w:val="22"/>
              </w:rPr>
              <w:t>-16.1% below guidance</w:t>
            </w:r>
          </w:p>
        </w:tc>
      </w:tr>
    </w:tbl>
    <w:p>
      <w:r>
        <w:rPr>
          <w:rFonts w:ascii="Calibri" w:hAnsi="Calibri"/>
          <w:i/>
          <w:color w:val="525866"/>
          <w:sz w:val="22"/>
        </w:rPr>
        <w:t xml:space="preserve">Source: Visible Alpha Consensus and Actuals Data (as-of date May 13, 2026 for baseline; current as of August 4, 2026). </w:t>
      </w:r>
      <w:r>
        <w:rPr>
          <w:rFonts w:ascii="Calibri" w:hAnsi="Calibri"/>
          <w:color w:val="525866"/>
          <w:sz w:val="22"/>
        </w:rPr>
        <w:t>The most notable divergence is the FY2026 investment volume gap: the Street's $7.97B consensus is 16% below management's $9.5B guidance. This gap likely reflects the Street's skepticism about sustaining Q1's $2.8B deployment pace, and represents the clearest potential upside catalyst if Q2 confirms the trajectory. AFFO estimates are tracking tightly with guidance, suggesting limited risk of a guidance-driven miss on the earnings line.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O's +11% twelve-month return has been driven primarily by earnings growth rather than multiple expansion — EV/EBITDA is essentially flat at ~15.5x, and P/E has compressed slightly. The stock is not pricing in a beat premium, which is constructive for a clean print.</w:t>
      </w:r>
    </w:p>
    <w:p>
      <w:r>
        <w:rPr>
          <w:rFonts w:ascii="Calibri" w:hAnsi="Calibri"/>
          <w:color w:val="525866"/>
          <w:sz w:val="22"/>
        </w:rPr>
        <w:t>Since the Q1 2026 earnings print (May 6, 2026), O has traded in a narrow range, with the stock essentially flat to slightly positive. The stock's twelve-month return of +11.2% has been driven almost entirely by earnings growth (AFFO per share up ~6–7% YoY), with the EV/EBITDA multiple moving from ~15.2x to ~15.5x (+1.8%) — a negligible contribution. Over the past six months, the stock is up +3.95% with the multiple essentially flat (-0.4%), confirming that the earnings growth story is the primary driver. The stock's current NTM P/E of ~37.2x and EV/EBITDA of ~15.5x are modestly above the retail REIT sector average, reflecting O's scale premium and dividend aristocrat status, but are not stretched relative to history.</w:t>
      </w:r>
    </w:p>
    <w:p>
      <w:r>
        <w:rPr>
          <w:rFonts w:ascii="Calibri" w:hAnsi="Calibri"/>
          <w:b/>
          <w:color w:val="525866"/>
          <w:sz w:val="22"/>
        </w:rPr>
        <w:t xml:space="preserve">Sector ETF used for comparison: </w:t>
      </w:r>
      <w:r>
        <w:rPr>
          <w:rFonts w:ascii="Calibri" w:hAnsi="Calibri"/>
          <w:color w:val="525866"/>
          <w:sz w:val="22"/>
        </w:rPr>
        <w:t>XLRE (Real Estate Select Sector SPDR Fund) — appropriate for O's sub-sector as a large-cap diversified net-lease REIT with significant index weight in the real estate sector.</w:t>
      </w:r>
    </w:p>
    <w:p>
      <w:r>
        <w:rPr>
          <w:rFonts w:ascii="Calibri" w:hAnsi="Calibri"/>
          <w:b/>
          <w:color w:val="525866"/>
          <w:sz w:val="22"/>
        </w:rPr>
        <w:t>Material events since Q1 2026 earnings (May 6, 2026):</w:t>
      </w:r>
    </w:p>
    <w:p>
      <w:pPr>
        <w:pStyle w:val="ListBullet"/>
        <w:ind w:left="360" w:hanging="360"/>
      </w:pPr>
      <w:r>
        <w:rPr>
          <w:rFonts w:ascii="Calibri" w:hAnsi="Calibri"/>
          <w:b/>
          <w:color w:val="525866"/>
          <w:sz w:val="22"/>
        </w:rPr>
        <w:t xml:space="preserve">May 8, 2026: </w:t>
      </w:r>
      <w:r>
        <w:rPr>
          <w:rFonts w:ascii="Calibri" w:hAnsi="Calibri"/>
          <w:color w:val="525866"/>
          <w:sz w:val="22"/>
        </w:rPr>
        <w:t>New ATM equity program established for up to 150M shares (8-K).</w:t>
      </w:r>
    </w:p>
    <w:p>
      <w:pPr>
        <w:pStyle w:val="ListBullet"/>
        <w:ind w:left="360" w:hanging="360"/>
      </w:pPr>
      <w:r>
        <w:rPr>
          <w:rFonts w:ascii="Calibri" w:hAnsi="Calibri"/>
          <w:b/>
          <w:color w:val="525866"/>
          <w:sz w:val="22"/>
        </w:rPr>
        <w:t xml:space="preserve">June 3, 2026: </w:t>
      </w:r>
      <w:r>
        <w:rPr>
          <w:rFonts w:ascii="Calibri" w:hAnsi="Calibri"/>
          <w:color w:val="525866"/>
          <w:sz w:val="22"/>
        </w:rPr>
        <w:t>Nareit REITweek presentation — management reiterated $9.5B investment volume guidance and confirmed Core Plus Fund near full deployment.</w:t>
      </w:r>
    </w:p>
    <w:p>
      <w:pPr>
        <w:pStyle w:val="ListBullet"/>
        <w:ind w:left="360" w:hanging="360"/>
      </w:pPr>
      <w:r>
        <w:rPr>
          <w:rFonts w:ascii="Calibri" w:hAnsi="Calibri"/>
          <w:b/>
          <w:color w:val="525866"/>
          <w:sz w:val="22"/>
        </w:rPr>
        <w:t xml:space="preserve">June 29, 2026: </w:t>
      </w:r>
      <w:r>
        <w:rPr>
          <w:rFonts w:ascii="Calibri" w:hAnsi="Calibri"/>
          <w:color w:val="525866"/>
          <w:sz w:val="22"/>
        </w:rPr>
        <w:t>€600M 3.625% Notes due 2032 priced; $4.0B liquidity reported.</w:t>
      </w:r>
    </w:p>
    <w:p>
      <w:pPr>
        <w:pStyle w:val="ListBullet"/>
        <w:ind w:left="360" w:hanging="360"/>
      </w:pPr>
      <w:r>
        <w:rPr>
          <w:rFonts w:ascii="Calibri" w:hAnsi="Calibri"/>
          <w:b/>
          <w:color w:val="525866"/>
          <w:sz w:val="22"/>
        </w:rPr>
        <w:t xml:space="preserve">July 7, 2026: </w:t>
      </w:r>
      <w:r>
        <w:rPr>
          <w:rFonts w:ascii="Calibri" w:hAnsi="Calibri"/>
          <w:color w:val="525866"/>
          <w:sz w:val="22"/>
        </w:rPr>
        <w:t>€600M debt offering closed.</w:t>
      </w:r>
    </w:p>
    <w:p>
      <w:pPr>
        <w:pStyle w:val="ListBullet"/>
        <w:ind w:left="360" w:hanging="360"/>
      </w:pPr>
      <w:r>
        <w:rPr>
          <w:rFonts w:ascii="Calibri" w:hAnsi="Calibri"/>
          <w:b/>
          <w:color w:val="525866"/>
          <w:sz w:val="22"/>
        </w:rPr>
        <w:t xml:space="preserve">July 13, 2026: </w:t>
      </w:r>
      <w:r>
        <w:rPr>
          <w:rFonts w:ascii="Calibri" w:hAnsi="Calibri"/>
          <w:color w:val="525866"/>
          <w:sz w:val="22"/>
        </w:rPr>
        <w:t>Credit facility upsized to $5.5B from $4.0B; commercial paper programs each raised to $2.75B from $1.5B.</w:t>
      </w:r>
    </w:p>
    <w:p>
      <w:r>
        <w:rPr>
          <w:rFonts w:ascii="Calibri" w:hAnsi="Calibri"/>
          <w:b/>
          <w:i/>
          <w:color w:val="525866"/>
          <w:sz w:val="22"/>
        </w:rPr>
        <w:t>Performance Decomposition Summary (Source: Implied Stock Performance Decomposition):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Price Return</w:t>
            </w:r>
          </w:p>
        </w:tc>
        <w:tc>
          <w:tcPr>
            <w:tcW w:type="dxa" w:w="1440"/>
            <w:shd w:val="clear" w:color="auto" w:fill="3B4259"/>
          </w:tcPr>
          <w:p>
            <w:r>
              <w:rPr>
                <w:rFonts w:ascii="Calibri" w:hAnsi="Calibri"/>
                <w:b/>
                <w:color w:val="FFFFFF"/>
                <w:sz w:val="22"/>
              </w:rPr>
              <w:t>EV/EBITDA at Start</w:t>
            </w:r>
          </w:p>
        </w:tc>
        <w:tc>
          <w:tcPr>
            <w:tcW w:type="dxa" w:w="1440"/>
            <w:shd w:val="clear" w:color="auto" w:fill="3B4259"/>
          </w:tcPr>
          <w:p>
            <w:r>
              <w:rPr>
                <w:rFonts w:ascii="Calibri" w:hAnsi="Calibri"/>
                <w:b/>
                <w:color w:val="FFFFFF"/>
                <w:sz w:val="22"/>
              </w:rPr>
              <w:t>EV/EBITDA Now</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Primary Driver</w:t>
            </w:r>
          </w:p>
        </w:tc>
      </w:tr>
      <w:tr>
        <w:tc>
          <w:tcPr>
            <w:tcW w:type="dxa" w:w="1440"/>
          </w:tcPr>
          <w:p>
            <w:r>
              <w:rPr>
                <w:rFonts w:ascii="Calibri" w:hAnsi="Calibri"/>
                <w:sz w:val="22"/>
              </w:rPr>
              <w:t>1 Month</w:t>
            </w:r>
          </w:p>
        </w:tc>
        <w:tc>
          <w:tcPr>
            <w:tcW w:type="dxa" w:w="1440"/>
          </w:tcPr>
          <w:p>
            <w:r>
              <w:rPr>
                <w:rFonts w:ascii="Calibri" w:hAnsi="Calibri"/>
                <w:sz w:val="22"/>
              </w:rPr>
              <w:t>-0.43%</w:t>
            </w:r>
          </w:p>
        </w:tc>
        <w:tc>
          <w:tcPr>
            <w:tcW w:type="dxa" w:w="1440"/>
          </w:tcPr>
          <w:p>
            <w:r>
              <w:rPr>
                <w:rFonts w:ascii="Calibri" w:hAnsi="Calibri"/>
                <w:sz w:val="22"/>
              </w:rPr>
              <w:t>15.67x</w:t>
            </w:r>
          </w:p>
        </w:tc>
        <w:tc>
          <w:tcPr>
            <w:tcW w:type="dxa" w:w="1440"/>
          </w:tcPr>
          <w:p>
            <w:r>
              <w:rPr>
                <w:rFonts w:ascii="Calibri" w:hAnsi="Calibri"/>
                <w:sz w:val="22"/>
              </w:rPr>
              <w:t>15.47x</w:t>
            </w:r>
          </w:p>
        </w:tc>
        <w:tc>
          <w:tcPr>
            <w:tcW w:type="dxa" w:w="1440"/>
          </w:tcPr>
          <w:p>
            <w:r>
              <w:rPr>
                <w:rFonts w:ascii="Calibri" w:hAnsi="Calibri"/>
                <w:sz w:val="22"/>
              </w:rPr>
              <w:t>-1.27%</w:t>
            </w:r>
          </w:p>
        </w:tc>
        <w:tc>
          <w:tcPr>
            <w:tcW w:type="dxa" w:w="1440"/>
          </w:tcPr>
          <w:p>
            <w:r>
              <w:rPr>
                <w:rFonts w:ascii="Calibri" w:hAnsi="Calibri"/>
                <w:sz w:val="22"/>
              </w:rPr>
              <w:t>Multiple compression (minor)</w:t>
            </w:r>
          </w:p>
        </w:tc>
      </w:tr>
      <w:tr>
        <w:tc>
          <w:tcPr>
            <w:tcW w:type="dxa" w:w="1440"/>
          </w:tcPr>
          <w:p>
            <w:r>
              <w:rPr>
                <w:rFonts w:ascii="Calibri" w:hAnsi="Calibri"/>
                <w:sz w:val="22"/>
              </w:rPr>
              <w:t>3 Months</w:t>
            </w:r>
          </w:p>
        </w:tc>
        <w:tc>
          <w:tcPr>
            <w:tcW w:type="dxa" w:w="1440"/>
          </w:tcPr>
          <w:p>
            <w:r>
              <w:rPr>
                <w:rFonts w:ascii="Calibri" w:hAnsi="Calibri"/>
                <w:sz w:val="22"/>
              </w:rPr>
              <w:t>-0.84%</w:t>
            </w:r>
          </w:p>
        </w:tc>
        <w:tc>
          <w:tcPr>
            <w:tcW w:type="dxa" w:w="1440"/>
          </w:tcPr>
          <w:p>
            <w:r>
              <w:rPr>
                <w:rFonts w:ascii="Calibri" w:hAnsi="Calibri"/>
                <w:sz w:val="22"/>
              </w:rPr>
              <w:t>15.72x</w:t>
            </w:r>
          </w:p>
        </w:tc>
        <w:tc>
          <w:tcPr>
            <w:tcW w:type="dxa" w:w="1440"/>
          </w:tcPr>
          <w:p>
            <w:r>
              <w:rPr>
                <w:rFonts w:ascii="Calibri" w:hAnsi="Calibri"/>
                <w:sz w:val="22"/>
              </w:rPr>
              <w:t>15.47x</w:t>
            </w:r>
          </w:p>
        </w:tc>
        <w:tc>
          <w:tcPr>
            <w:tcW w:type="dxa" w:w="1440"/>
          </w:tcPr>
          <w:p>
            <w:r>
              <w:rPr>
                <w:rFonts w:ascii="Calibri" w:hAnsi="Calibri"/>
                <w:sz w:val="22"/>
              </w:rPr>
              <w:t>-1.60%</w:t>
            </w:r>
          </w:p>
        </w:tc>
        <w:tc>
          <w:tcPr>
            <w:tcW w:type="dxa" w:w="1440"/>
          </w:tcPr>
          <w:p>
            <w:r>
              <w:rPr>
                <w:rFonts w:ascii="Calibri" w:hAnsi="Calibri"/>
                <w:sz w:val="22"/>
              </w:rPr>
              <w:t>Multiple compression (minor)</w:t>
            </w:r>
          </w:p>
        </w:tc>
      </w:tr>
      <w:tr>
        <w:tc>
          <w:tcPr>
            <w:tcW w:type="dxa" w:w="1440"/>
          </w:tcPr>
          <w:p>
            <w:r>
              <w:rPr>
                <w:rFonts w:ascii="Calibri" w:hAnsi="Calibri"/>
                <w:sz w:val="22"/>
              </w:rPr>
              <w:t>6 Months</w:t>
            </w:r>
          </w:p>
        </w:tc>
        <w:tc>
          <w:tcPr>
            <w:tcW w:type="dxa" w:w="1440"/>
          </w:tcPr>
          <w:p>
            <w:r>
              <w:rPr>
                <w:rFonts w:ascii="Calibri" w:hAnsi="Calibri"/>
                <w:sz w:val="22"/>
              </w:rPr>
              <w:t>+3.95%</w:t>
            </w:r>
          </w:p>
        </w:tc>
        <w:tc>
          <w:tcPr>
            <w:tcW w:type="dxa" w:w="1440"/>
          </w:tcPr>
          <w:p>
            <w:r>
              <w:rPr>
                <w:rFonts w:ascii="Calibri" w:hAnsi="Calibri"/>
                <w:sz w:val="22"/>
              </w:rPr>
              <w:t>15.54x</w:t>
            </w:r>
          </w:p>
        </w:tc>
        <w:tc>
          <w:tcPr>
            <w:tcW w:type="dxa" w:w="1440"/>
          </w:tcPr>
          <w:p>
            <w:r>
              <w:rPr>
                <w:rFonts w:ascii="Calibri" w:hAnsi="Calibri"/>
                <w:sz w:val="22"/>
              </w:rPr>
              <w:t>15.47x</w:t>
            </w:r>
          </w:p>
        </w:tc>
        <w:tc>
          <w:tcPr>
            <w:tcW w:type="dxa" w:w="1440"/>
          </w:tcPr>
          <w:p>
            <w:r>
              <w:rPr>
                <w:rFonts w:ascii="Calibri" w:hAnsi="Calibri"/>
                <w:sz w:val="22"/>
              </w:rPr>
              <w:t>-0.44%</w:t>
            </w:r>
          </w:p>
        </w:tc>
        <w:tc>
          <w:tcPr>
            <w:tcW w:type="dxa" w:w="1440"/>
          </w:tcPr>
          <w:p>
            <w:r>
              <w:rPr>
                <w:rFonts w:ascii="Calibri" w:hAnsi="Calibri"/>
                <w:sz w:val="22"/>
              </w:rPr>
              <w:t>Earnings growth dominant</w:t>
            </w:r>
          </w:p>
        </w:tc>
      </w:tr>
      <w:tr>
        <w:tc>
          <w:tcPr>
            <w:tcW w:type="dxa" w:w="1440"/>
          </w:tcPr>
          <w:p>
            <w:r>
              <w:rPr>
                <w:rFonts w:ascii="Calibri" w:hAnsi="Calibri"/>
                <w:sz w:val="22"/>
              </w:rPr>
              <w:t>12 Months</w:t>
            </w:r>
          </w:p>
        </w:tc>
        <w:tc>
          <w:tcPr>
            <w:tcW w:type="dxa" w:w="1440"/>
          </w:tcPr>
          <w:p>
            <w:r>
              <w:rPr>
                <w:rFonts w:ascii="Calibri" w:hAnsi="Calibri"/>
                <w:sz w:val="22"/>
              </w:rPr>
              <w:t>+11.23%</w:t>
            </w:r>
          </w:p>
        </w:tc>
        <w:tc>
          <w:tcPr>
            <w:tcW w:type="dxa" w:w="1440"/>
          </w:tcPr>
          <w:p>
            <w:r>
              <w:rPr>
                <w:rFonts w:ascii="Calibri" w:hAnsi="Calibri"/>
                <w:sz w:val="22"/>
              </w:rPr>
              <w:t>15.20x</w:t>
            </w:r>
          </w:p>
        </w:tc>
        <w:tc>
          <w:tcPr>
            <w:tcW w:type="dxa" w:w="1440"/>
          </w:tcPr>
          <w:p>
            <w:r>
              <w:rPr>
                <w:rFonts w:ascii="Calibri" w:hAnsi="Calibri"/>
                <w:sz w:val="22"/>
              </w:rPr>
              <w:t>15.47x</w:t>
            </w:r>
          </w:p>
        </w:tc>
        <w:tc>
          <w:tcPr>
            <w:tcW w:type="dxa" w:w="1440"/>
          </w:tcPr>
          <w:p>
            <w:r>
              <w:rPr>
                <w:rFonts w:ascii="Calibri" w:hAnsi="Calibri"/>
                <w:sz w:val="22"/>
              </w:rPr>
              <w:t>+1.81%</w:t>
            </w:r>
          </w:p>
        </w:tc>
        <w:tc>
          <w:tcPr>
            <w:tcW w:type="dxa" w:w="1440"/>
          </w:tcPr>
          <w:p>
            <w:r>
              <w:rPr>
                <w:rFonts w:ascii="Calibri" w:hAnsi="Calibri"/>
                <w:sz w:val="22"/>
              </w:rPr>
              <w:t>Earnings growth + modest re-rating</w:t>
            </w:r>
          </w:p>
        </w:tc>
      </w:tr>
    </w:tbl>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July 13 credit facility upsizing to $5.5B (from $4.0B) alongside the €600M debt offering — together these actions materially expand O's liquidity runway and validate the $9.5B investment volume guidance. The private capital ecosystem build-out (Apollo, GIC, Core Plus Fund) remains the central strategic narrative heading into the print.</w:t>
      </w:r>
    </w:p>
    <w:p>
      <w:pPr>
        <w:pStyle w:val="ListBullet"/>
        <w:ind w:left="360" w:hanging="360"/>
      </w:pPr>
      <w:r>
        <w:rPr>
          <w:rFonts w:ascii="Calibri" w:hAnsi="Calibri"/>
          <w:b/>
          <w:color w:val="525866"/>
          <w:sz w:val="22"/>
        </w:rPr>
        <w:t xml:space="preserve">July 13, 2026 — Credit Facility Upsized to $5.5B; Commercial Paper Programs Doubled: </w:t>
      </w:r>
      <w:r>
        <w:rPr>
          <w:rFonts w:ascii="Calibri" w:hAnsi="Calibri"/>
          <w:color w:val="525866"/>
          <w:sz w:val="22"/>
        </w:rPr>
        <w:t xml:space="preserve">Realty Income entered a Fifth Amended and Restated Credit Agreement, increasing its unsecured multicurrency revolving credit facilities from $4.0B to $5.5B (with an accordion to $6.5B). Simultaneously, both the U.S. and Euro commercial paper programs were raised from $1.5B to $2.75B each. UK and Netherlands subsidiaries added as joint borrowers, reflecting the growing European platform. </w:t>
      </w:r>
      <w:r>
        <w:rPr>
          <w:rFonts w:ascii="Calibri" w:hAnsi="Calibri"/>
          <w:b/>
          <w:color w:val="525866"/>
          <w:sz w:val="22"/>
        </w:rPr>
        <w:t xml:space="preserve">Implication: </w:t>
      </w:r>
      <w:r>
        <w:rPr>
          <w:rFonts w:ascii="Calibri" w:hAnsi="Calibri"/>
          <w:color w:val="525866"/>
          <w:sz w:val="22"/>
        </w:rPr>
        <w:t>Materially expands liquidity capacity to support the $9.5B investment volume target; signals lender confidence in the platform's growth trajectory. Total available liquidity now exceeds $5.5B+ in committed facilities.</w:t>
      </w:r>
    </w:p>
    <w:p>
      <w:pPr>
        <w:pStyle w:val="ListBullet"/>
        <w:ind w:left="360" w:hanging="360"/>
      </w:pPr>
      <w:r>
        <w:rPr>
          <w:rFonts w:ascii="Calibri" w:hAnsi="Calibri"/>
          <w:b/>
          <w:color w:val="525866"/>
          <w:sz w:val="22"/>
        </w:rPr>
        <w:t xml:space="preserve">July 7, 2026 — €600M 3.625% Notes Due 2032 Closed: </w:t>
      </w:r>
      <w:r>
        <w:rPr>
          <w:rFonts w:ascii="Calibri" w:hAnsi="Calibri"/>
          <w:color w:val="525866"/>
          <w:sz w:val="22"/>
        </w:rPr>
        <w:t xml:space="preserve">Realty Income closed its €600M Euro-denominated senior unsecured notes offering (priced June 29, 2026). </w:t>
      </w:r>
      <w:r>
        <w:rPr>
          <w:rFonts w:ascii="Calibri" w:hAnsi="Calibri"/>
          <w:b/>
          <w:color w:val="525866"/>
          <w:sz w:val="22"/>
        </w:rPr>
        <w:t xml:space="preserve">Implication: </w:t>
      </w:r>
      <w:r>
        <w:rPr>
          <w:rFonts w:ascii="Calibri" w:hAnsi="Calibri"/>
          <w:color w:val="525866"/>
          <w:sz w:val="22"/>
        </w:rPr>
        <w:t>Demonstrates continued access to attractively priced European debt capital (~100bps inside comparable U.S. dollar debt per management commentary), supporting the European expansion strategy and providing a natural currency hedge.</w:t>
      </w:r>
    </w:p>
    <w:p>
      <w:pPr>
        <w:pStyle w:val="ListBullet"/>
        <w:ind w:left="360" w:hanging="360"/>
      </w:pPr>
      <w:r>
        <w:rPr>
          <w:rFonts w:ascii="Calibri" w:hAnsi="Calibri"/>
          <w:b/>
          <w:color w:val="525866"/>
          <w:sz w:val="22"/>
        </w:rPr>
        <w:t xml:space="preserve">June 29, 2026 — $4.0B Liquidity Reported; ATM Forward Equity Balance ~$2.1B: </w:t>
      </w:r>
      <w:r>
        <w:rPr>
          <w:rFonts w:ascii="Calibri" w:hAnsi="Calibri"/>
          <w:color w:val="525866"/>
          <w:sz w:val="22"/>
        </w:rPr>
        <w:t xml:space="preserve">As of June 25, 2026, O reported ~$4.0B in total available liquidity at pro-rata share, including $242M cash, $3.47B revolving credit availability, and $2.06B of unsettled ATM forwards (net of $1.76B commercial paper). </w:t>
      </w:r>
      <w:r>
        <w:rPr>
          <w:rFonts w:ascii="Calibri" w:hAnsi="Calibri"/>
          <w:b/>
          <w:color w:val="525866"/>
          <w:sz w:val="22"/>
        </w:rPr>
        <w:t xml:space="preserve">Implication: </w:t>
      </w:r>
      <w:r>
        <w:rPr>
          <w:rFonts w:ascii="Calibri" w:hAnsi="Calibri"/>
          <w:color w:val="525866"/>
          <w:sz w:val="22"/>
        </w:rPr>
        <w:t>Ample dry powder to fund Q2 and H2 2026 investment activity without requiring incremental equity issuance at current prices.</w:t>
      </w:r>
    </w:p>
    <w:p>
      <w:pPr>
        <w:pStyle w:val="ListBullet"/>
        <w:ind w:left="360" w:hanging="360"/>
      </w:pPr>
      <w:r>
        <w:rPr>
          <w:rFonts w:ascii="Calibri" w:hAnsi="Calibri"/>
          <w:b/>
          <w:color w:val="525866"/>
          <w:sz w:val="22"/>
        </w:rPr>
        <w:t xml:space="preserve">June 3, 2026 — Nareit REITweek Presentation (Key Guidance Reaffirmation): </w:t>
      </w:r>
      <w:r>
        <w:rPr>
          <w:rFonts w:ascii="Calibri" w:hAnsi="Calibri"/>
          <w:color w:val="525866"/>
          <w:sz w:val="22"/>
        </w:rPr>
        <w:t xml:space="preserve">CEO Sumit Roy reiterated $9.5B investment volume guidance, confirmed Core Plus Fund near full deployment (expected by end of June / early July), and described investment momentum as balanced 50/50 U.S./Europe. Dividend yield of 5.5% + 3.4% AFFO growth = ~9% total return at current guidance midpoint, with a path to 8–11% as AFFO growth accelerates. </w:t>
      </w:r>
      <w:r>
        <w:rPr>
          <w:rFonts w:ascii="Calibri" w:hAnsi="Calibri"/>
          <w:b/>
          <w:color w:val="525866"/>
          <w:sz w:val="22"/>
        </w:rPr>
        <w:t xml:space="preserve">Implication: </w:t>
      </w:r>
      <w:r>
        <w:rPr>
          <w:rFonts w:ascii="Calibri" w:hAnsi="Calibri"/>
          <w:color w:val="525866"/>
          <w:sz w:val="22"/>
        </w:rPr>
        <w:t>Confirms no guidance walk-back between Q1 earnings and Q2 print; Core Plus Fund full deployment confirmation would be a positive catalyst on the Q2 call.</w:t>
      </w:r>
    </w:p>
    <w:p>
      <w:pPr>
        <w:pStyle w:val="ListBullet"/>
        <w:ind w:left="360" w:hanging="360"/>
      </w:pPr>
      <w:r>
        <w:rPr>
          <w:rFonts w:ascii="Calibri" w:hAnsi="Calibri"/>
          <w:b/>
          <w:color w:val="525866"/>
          <w:sz w:val="22"/>
        </w:rPr>
        <w:t xml:space="preserve">May 8, 2026 — New ATM Equity Program (150M Shares): </w:t>
      </w:r>
      <w:r>
        <w:rPr>
          <w:rFonts w:ascii="Calibri" w:hAnsi="Calibri"/>
          <w:color w:val="525866"/>
          <w:sz w:val="22"/>
        </w:rPr>
        <w:t xml:space="preserve">Realty Income established a new at-the-market equity program for up to 150M shares, replacing the prior program. </w:t>
      </w:r>
      <w:r>
        <w:rPr>
          <w:rFonts w:ascii="Calibri" w:hAnsi="Calibri"/>
          <w:b/>
          <w:color w:val="525866"/>
          <w:sz w:val="22"/>
        </w:rPr>
        <w:t xml:space="preserve">Implication: </w:t>
      </w:r>
      <w:r>
        <w:rPr>
          <w:rFonts w:ascii="Calibri" w:hAnsi="Calibri"/>
          <w:color w:val="525866"/>
          <w:sz w:val="22"/>
        </w:rPr>
        <w:t>Provides continued access to equity capital to fund the two-thirds equity / one-third debt capital structure; the large size (150M shares) signals management's confidence in sustained high investment volume.</w:t>
      </w:r>
    </w:p>
    <w:p>
      <w:pPr>
        <w:pStyle w:val="ListBullet"/>
        <w:ind w:left="360" w:hanging="360"/>
      </w:pPr>
      <w:r>
        <w:rPr>
          <w:rFonts w:ascii="Calibri" w:hAnsi="Calibri"/>
          <w:b/>
          <w:color w:val="525866"/>
          <w:sz w:val="22"/>
        </w:rPr>
        <w:t xml:space="preserve">May 6, 2026 — Q1 2026 Earnings: Three Private Capital Vehicles Completed: </w:t>
      </w:r>
      <w:r>
        <w:rPr>
          <w:rFonts w:ascii="Calibri" w:hAnsi="Calibri"/>
          <w:color w:val="525866"/>
          <w:sz w:val="22"/>
        </w:rPr>
        <w:t xml:space="preserve">Completion of Apollo $1B JV (492-property retail portfolio, 6.875% capped IRR, call option years 7–15), GIC $1.5B build-to-suit JV (U.S. and Mexico industrial), and $1.7B Core Plus Fund cornerstone raise. Two mezzanine credit investments: $375M logistics portfolio loan (alongside sovereign capital firm) and $190M data center campus loan (Virginia, pre-leased to hyperscale tenant). </w:t>
      </w:r>
      <w:r>
        <w:rPr>
          <w:rFonts w:ascii="Calibri" w:hAnsi="Calibri"/>
          <w:b/>
          <w:color w:val="525866"/>
          <w:sz w:val="22"/>
        </w:rPr>
        <w:t xml:space="preserve">Implication: </w:t>
      </w:r>
      <w:r>
        <w:rPr>
          <w:rFonts w:ascii="Calibri" w:hAnsi="Calibri"/>
          <w:color w:val="525866"/>
          <w:sz w:val="22"/>
        </w:rPr>
        <w:t>Structural platform evolution — diversifies equity sources away from public markets, generates fee income (~$10M+ annualized base management fees from Core Plus Fund once fully drawn), and creates path-to-ownership in data centers and logistics.</w:t>
      </w:r>
    </w:p>
    <w:p>
      <w:pPr>
        <w:pStyle w:val="ListBullet"/>
        <w:ind w:left="360" w:hanging="360"/>
      </w:pPr>
      <w:r>
        <w:rPr>
          <w:rFonts w:ascii="Calibri" w:hAnsi="Calibri"/>
          <w:b/>
          <w:color w:val="525866"/>
          <w:sz w:val="22"/>
        </w:rPr>
        <w:t xml:space="preserve">Ongoing — Macro / Rate Environment: </w:t>
      </w:r>
      <w:r>
        <w:rPr>
          <w:rFonts w:ascii="Calibri" w:hAnsi="Calibri"/>
          <w:color w:val="525866"/>
          <w:sz w:val="22"/>
        </w:rPr>
        <w:t xml:space="preserve">The 10-year Treasury has remained in the 3.8%–4.5% range per management commentary, consistent with the cap rate environment O has been operating in for the past two years. Peer commentary (GTY, FCPT, ADC) confirms debt markets remain open and constructive, with spreads tight and benchmarks elevated but manageable. </w:t>
      </w:r>
      <w:r>
        <w:rPr>
          <w:rFonts w:ascii="Calibri" w:hAnsi="Calibri"/>
          <w:b/>
          <w:color w:val="525866"/>
          <w:sz w:val="22"/>
        </w:rPr>
        <w:t xml:space="preserve">Implication: </w:t>
      </w:r>
      <w:r>
        <w:rPr>
          <w:rFonts w:ascii="Calibri" w:hAnsi="Calibri"/>
          <w:color w:val="525866"/>
          <w:sz w:val="22"/>
        </w:rPr>
        <w:t>No material deterioration in the investment spread environment; O's European debt access (~100bps inside U.S. rates) remains a competitive advantage.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the Q1 print. The only Form 4 activity consists of routine annual director equity grants (code A) and one tax-withholding share surrender (code F) — nothing that signals directional conviction from insiders.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Redington Neale</w:t>
            </w:r>
          </w:p>
        </w:tc>
        <w:tc>
          <w:tcPr>
            <w:tcW w:type="dxa" w:w="1440"/>
          </w:tcPr>
          <w:p>
            <w:r>
              <w:rPr>
                <w:rFonts w:ascii="Calibri" w:hAnsi="Calibri"/>
                <w:sz w:val="22"/>
              </w:rPr>
              <w:t>See Remarks</w:t>
            </w:r>
          </w:p>
        </w:tc>
        <w:tc>
          <w:tcPr>
            <w:tcW w:type="dxa" w:w="1440"/>
          </w:tcPr>
          <w:p>
            <w:r>
              <w:rPr>
                <w:rFonts w:ascii="Calibri" w:hAnsi="Calibri"/>
                <w:sz w:val="22"/>
              </w:rPr>
              <w:t>Share Surrender (Code F)</w:t>
            </w:r>
          </w:p>
        </w:tc>
        <w:tc>
          <w:tcPr>
            <w:tcW w:type="dxa" w:w="1440"/>
          </w:tcPr>
          <w:p>
            <w:r>
              <w:rPr>
                <w:rFonts w:ascii="Calibri" w:hAnsi="Calibri"/>
                <w:sz w:val="22"/>
              </w:rPr>
              <w:t>240 shares</w:t>
            </w:r>
          </w:p>
        </w:tc>
        <w:tc>
          <w:tcPr>
            <w:tcW w:type="dxa" w:w="1440"/>
          </w:tcPr>
          <w:p>
            <w:r>
              <w:rPr>
                <w:rFonts w:ascii="Calibri" w:hAnsi="Calibri"/>
                <w:sz w:val="22"/>
              </w:rPr>
              <w:t>June 27, 2026</w:t>
            </w:r>
          </w:p>
        </w:tc>
        <w:tc>
          <w:tcPr>
            <w:tcW w:type="dxa" w:w="1440"/>
          </w:tcPr>
          <w:p>
            <w:r>
              <w:rPr>
                <w:rFonts w:ascii="Calibri" w:hAnsi="Calibri"/>
                <w:sz w:val="22"/>
              </w:rPr>
              <w:t>Tax withholding / obligation-driven; not a discretionary sale. Non-directional.</w:t>
            </w:r>
          </w:p>
        </w:tc>
      </w:tr>
      <w:tr>
        <w:tc>
          <w:tcPr>
            <w:tcW w:type="dxa" w:w="1440"/>
          </w:tcPr>
          <w:p>
            <w:r>
              <w:rPr>
                <w:rFonts w:ascii="Calibri" w:hAnsi="Calibri"/>
                <w:sz w:val="22"/>
              </w:rPr>
              <w:t>Almodovar Priscilla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3,214 shares</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grant. Non-directional.</w:t>
            </w:r>
          </w:p>
        </w:tc>
      </w:tr>
      <w:tr>
        <w:tc>
          <w:tcPr>
            <w:tcW w:type="dxa" w:w="1440"/>
          </w:tcPr>
          <w:p>
            <w:r>
              <w:rPr>
                <w:rFonts w:ascii="Calibri" w:hAnsi="Calibri"/>
                <w:sz w:val="22"/>
              </w:rPr>
              <w:t>Chapman A. Larry</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3,214 shares (indirect, by trust)</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grant. Non-directional.</w:t>
            </w:r>
          </w:p>
        </w:tc>
      </w:tr>
      <w:tr>
        <w:tc>
          <w:tcPr>
            <w:tcW w:type="dxa" w:w="1440"/>
          </w:tcPr>
          <w:p>
            <w:r>
              <w:rPr>
                <w:rFonts w:ascii="Calibri" w:hAnsi="Calibri"/>
                <w:sz w:val="22"/>
              </w:rPr>
              <w:t>Gilyard Reginald Harold</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3,214 shares</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grant. Non-directional.</w:t>
            </w:r>
          </w:p>
        </w:tc>
      </w:tr>
      <w:tr>
        <w:tc>
          <w:tcPr>
            <w:tcW w:type="dxa" w:w="1440"/>
          </w:tcPr>
          <w:p>
            <w:r>
              <w:rPr>
                <w:rFonts w:ascii="Calibri" w:hAnsi="Calibri"/>
                <w:sz w:val="22"/>
              </w:rPr>
              <w:t>Hourihan Kimberly</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3,214 shares</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grant. Non-directional.</w:t>
            </w:r>
          </w:p>
        </w:tc>
      </w:tr>
      <w:tr>
        <w:tc>
          <w:tcPr>
            <w:tcW w:type="dxa" w:w="1440"/>
          </w:tcPr>
          <w:p>
            <w:r>
              <w:rPr>
                <w:rFonts w:ascii="Calibri" w:hAnsi="Calibri"/>
                <w:sz w:val="22"/>
              </w:rPr>
              <w:t>Huskins Priya Cherian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3,214 shares (indirect, by trust)</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grant. Non-directional.</w:t>
            </w:r>
          </w:p>
        </w:tc>
      </w:tr>
      <w:tr>
        <w:tc>
          <w:tcPr>
            <w:tcW w:type="dxa" w:w="1440"/>
          </w:tcPr>
          <w:p>
            <w:r>
              <w:rPr>
                <w:rFonts w:ascii="Calibri" w:hAnsi="Calibri"/>
                <w:sz w:val="22"/>
              </w:rPr>
              <w:t>Jacobson Jeff 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3,214 shares</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grant. Non-directional.</w:t>
            </w:r>
          </w:p>
        </w:tc>
      </w:tr>
      <w:tr>
        <w:tc>
          <w:tcPr>
            <w:tcW w:type="dxa" w:w="1440"/>
          </w:tcPr>
          <w:p>
            <w:r>
              <w:rPr>
                <w:rFonts w:ascii="Calibri" w:hAnsi="Calibri"/>
                <w:sz w:val="22"/>
              </w:rPr>
              <w:t>Lopez Gerardo I</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3,214 shares</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grant. Non-directional.</w:t>
            </w:r>
          </w:p>
        </w:tc>
      </w:tr>
      <w:tr>
        <w:tc>
          <w:tcPr>
            <w:tcW w:type="dxa" w:w="1440"/>
          </w:tcPr>
          <w:p>
            <w:r>
              <w:rPr>
                <w:rFonts w:ascii="Calibri" w:hAnsi="Calibri"/>
                <w:sz w:val="22"/>
              </w:rPr>
              <w:t>McKee Michael D</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3,214 shares (indirect, by trust)</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grant. Non-directional.</w:t>
            </w:r>
          </w:p>
        </w:tc>
      </w:tr>
      <w:tr>
        <w:tc>
          <w:tcPr>
            <w:tcW w:type="dxa" w:w="1440"/>
          </w:tcPr>
          <w:p>
            <w:r>
              <w:rPr>
                <w:rFonts w:ascii="Calibri" w:hAnsi="Calibri"/>
                <w:sz w:val="22"/>
              </w:rPr>
              <w:t>McLaughlin Gregory</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3,214 shares (indirect, by trust)</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grant. Non-directional.</w:t>
            </w:r>
          </w:p>
        </w:tc>
      </w:tr>
      <w:tr>
        <w:tc>
          <w:tcPr>
            <w:tcW w:type="dxa" w:w="1440"/>
          </w:tcPr>
          <w:p>
            <w:r>
              <w:rPr>
                <w:rFonts w:ascii="Calibri" w:hAnsi="Calibri"/>
                <w:sz w:val="22"/>
              </w:rPr>
              <w:t>Preusse Mary Hogan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3,214 shares</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grant. Non-directional.</w:t>
            </w:r>
          </w:p>
        </w:tc>
      </w:tr>
    </w:tbl>
    <w:p>
      <w:r>
        <w:rPr>
          <w:rFonts w:ascii="Calibri" w:hAnsi="Calibri"/>
          <w:i/>
          <w:color w:val="525866"/>
          <w:sz w:val="22"/>
        </w:rPr>
        <w:t xml:space="preserve">Source: SEC Form 4 Filings Database. </w:t>
      </w:r>
      <w:r>
        <w:rPr>
          <w:rFonts w:ascii="Calibri" w:hAnsi="Calibri"/>
          <w:color w:val="525866"/>
          <w:sz w:val="22"/>
        </w:rPr>
        <w:t>No open-market purchases (Code P) or discretionary sales (Code S) were filed by any executive or director since the Q1 2026 earnings print. All May 21 transactions are routine annual director equity grants (Code A — acquisition via compensation). The June 27 Code F transaction by Redington Neale is a share surrender for tax withholding, not a discretionary sale. The absence of any open-market buying or selling by management is neutral — it does not signal concern, but also does not provide a positive conviction signal.</w:t>
      </w:r>
    </w:p>
    <w:p>
      <w:r>
        <w:br w:type="page"/>
      </w:r>
    </w:p>
    <w:p>
      <w:pPr>
        <w:pStyle w:val="Heading2"/>
      </w:pPr>
      <w:r>
        <w:rPr>
          <w:rFonts w:ascii="Calibri" w:hAnsi="Calibri"/>
          <w:b/>
          <w:color w:val="3B4259"/>
          <w:sz w:val="28"/>
        </w:rPr>
        <w:t>8. Peer Commentaries &amp; Read-Throughs (Q2 2026)</w:t>
      </w:r>
    </w:p>
    <w:p>
      <w:r>
        <w:rPr>
          <w:rFonts w:ascii="Calibri" w:hAnsi="Calibri"/>
          <w:b/>
          <w:color w:val="525866"/>
          <w:sz w:val="22"/>
        </w:rPr>
        <w:t xml:space="preserve">Key Takeaway: </w:t>
      </w:r>
      <w:r>
        <w:rPr>
          <w:rFonts w:ascii="Calibri" w:hAnsi="Calibri"/>
          <w:color w:val="525866"/>
          <w:sz w:val="22"/>
        </w:rPr>
        <w:t>Peer Q2 2026 earnings calls (reported July–August 2026) paint a uniformly positive picture for the net-lease sector: record or near-record investment volumes, stable-to-improving cap rates, exceptionally low credit losses, strong tenant demand, and open debt markets. The read-through to O is broadly positive across all five dimensions, with the most actionable signals coming from ADC (record deployment at stable 7% cap rates), NTST (maturing-debt-driven portfolio supply with reduced competition), and GTY (improving cost of capital enabling wider deal access).</w:t>
      </w:r>
    </w:p>
    <w:p>
      <w:r>
        <w:rPr>
          <w:rFonts w:ascii="Calibri" w:hAnsi="Calibri"/>
          <w:b/>
          <w:i/>
          <w:color w:val="525866"/>
          <w:sz w:val="22"/>
        </w:rPr>
        <w:t xml:space="preserve">Methodology Note: </w:t>
      </w:r>
      <w:r>
        <w:rPr>
          <w:rFonts w:ascii="Calibri" w:hAnsi="Calibri"/>
          <w:i/>
          <w:color w:val="525866"/>
          <w:sz w:val="22"/>
        </w:rPr>
        <w:t>Only commentary from Q2 2026 earnings calls and releases (reported May–August 2026) is included below. Prior-quarter results commentary (e.g., Q1 2026 results discussed on Q1 calls) is excluded. All peers listed below reported Q2 2026 results before O's August 5 call.</w:t>
      </w:r>
    </w:p>
    <w:p>
      <w:pPr>
        <w:pStyle w:val="Heading3"/>
      </w:pPr>
      <w:r>
        <w:rPr>
          <w:rFonts w:ascii="Calibri" w:hAnsi="Calibri"/>
          <w:b/>
          <w:color w:val="3B4259"/>
          <w:sz w:val="24"/>
        </w:rPr>
        <w:t>8.1 Agree Realty (ADC) — Q2 2026 Earnings Call (July 31, 2026)</w:t>
      </w:r>
    </w:p>
    <w:p>
      <w:r>
        <w:rPr>
          <w:rFonts w:ascii="Calibri" w:hAnsi="Calibri"/>
          <w:b/>
          <w:color w:val="30A46C"/>
          <w:sz w:val="22"/>
        </w:rPr>
        <w:t xml:space="preserve">Overall Read-Through: </w:t>
      </w:r>
      <w:r>
        <w:rPr>
          <w:rFonts w:ascii="Calibri" w:hAnsi="Calibri"/>
          <w:b/>
          <w:color w:val="30A46C"/>
          <w:sz w:val="22"/>
        </w:rPr>
        <w:t xml:space="preserve"> Strongly Positive</w:t>
      </w:r>
    </w:p>
    <w:p>
      <w:r>
        <w:rPr>
          <w:rFonts w:ascii="Calibri" w:hAnsi="Calibri"/>
          <w:b/>
          <w:color w:val="525866"/>
          <w:sz w:val="22"/>
        </w:rPr>
        <w:t xml:space="preserve">Investment Environment — Record Deployment at Stable Cap Rates: </w:t>
      </w:r>
      <w:r>
        <w:rPr>
          <w:rFonts w:ascii="Calibri" w:hAnsi="Calibri"/>
          <w:color w:val="525866"/>
          <w:sz w:val="22"/>
        </w:rPr>
        <w:t>ADC reported a company record of over $500M in Q2 2026 investments, including $451M of retail net-lease acquisitions — the highest quarterly level since COVID. Critically, the weighted average cap rate held at 7.0% despite elevated Treasuries, and investment-grade retailer exposure in acquired assets rose from 60% to over 73% of ABR without sacrificing yield. ADC raised its full-year investment volume guidance by 24% to $1.6–$1.8B and lifted AFFO/share guidance by $0.02 at the midpoint to $4.57–$4.59 (implying ~6% AFFO growth).</w:t>
      </w:r>
    </w:p>
    <w:p>
      <w:r>
        <w:rPr>
          <w:rFonts w:ascii="Calibri" w:hAnsi="Calibri"/>
          <w:b/>
          <w:color w:val="525866"/>
          <w:sz w:val="22"/>
        </w:rPr>
        <w:t xml:space="preserve">Tenant Credit — Exceptionally Low Losses: </w:t>
      </w:r>
      <w:r>
        <w:rPr>
          <w:rFonts w:ascii="Calibri" w:hAnsi="Calibri"/>
          <w:color w:val="525866"/>
          <w:sz w:val="22"/>
        </w:rPr>
        <w:t>ADC lowered its full-year credit and occupancy loss assumption to 25bps (the low end of prior 25–50bps range), with only 6bps of loss in Q2 alone. The watch list is described as "in a really good spot" — lower than a year or two ago — and the largest watch-list item (AMC theaters) was upgraded by S&amp;P during the quarter. Occupancy ticked up 10bps sequentially to a company record of 99.8%.</w:t>
      </w:r>
    </w:p>
    <w:p>
      <w:r>
        <w:rPr>
          <w:rFonts w:ascii="Calibri" w:hAnsi="Calibri"/>
          <w:b/>
          <w:color w:val="525866"/>
          <w:sz w:val="22"/>
        </w:rPr>
        <w:t xml:space="preserve">Leasing — Strong Recapture: </w:t>
      </w:r>
      <w:r>
        <w:rPr>
          <w:rFonts w:ascii="Calibri" w:hAnsi="Calibri"/>
          <w:color w:val="525866"/>
          <w:sz w:val="22"/>
        </w:rPr>
        <w:t>ADC executed leases on ~760,000 sq ft in Q2 at a 105% recapture rate, consistent with O's own 103%+ recapture trend. Only 18 leases (40bps of ABR) mature for the remainder of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Read-Through Dimension</w:t>
            </w:r>
          </w:p>
        </w:tc>
        <w:tc>
          <w:tcPr>
            <w:tcW w:type="dxa" w:w="2160"/>
            <w:shd w:val="clear" w:color="auto" w:fill="3B4259"/>
          </w:tcPr>
          <w:p>
            <w:r>
              <w:rPr>
                <w:rFonts w:ascii="Calibri" w:hAnsi="Calibri"/>
                <w:b/>
                <w:color w:val="FFFFFF"/>
                <w:sz w:val="22"/>
              </w:rPr>
              <w:t>ADC Signal</w:t>
            </w:r>
          </w:p>
        </w:tc>
        <w:tc>
          <w:tcPr>
            <w:tcW w:type="dxa" w:w="2160"/>
            <w:shd w:val="clear" w:color="auto" w:fill="3B4259"/>
          </w:tcPr>
          <w:p>
            <w:r>
              <w:rPr>
                <w:rFonts w:ascii="Calibri" w:hAnsi="Calibri"/>
                <w:b/>
                <w:color w:val="FFFFFF"/>
                <w:sz w:val="22"/>
              </w:rPr>
              <w:t>Transferability to O</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Investment volume / cap rates</w:t>
            </w:r>
          </w:p>
        </w:tc>
        <w:tc>
          <w:tcPr>
            <w:tcW w:type="dxa" w:w="2160"/>
          </w:tcPr>
          <w:p>
            <w:r>
              <w:rPr>
                <w:rFonts w:ascii="Calibri" w:hAnsi="Calibri"/>
                <w:sz w:val="22"/>
              </w:rPr>
              <w:t>Record $500M+ Q2; 7.0% cap rate stable; IG mix improved to 73%</w:t>
            </w:r>
          </w:p>
        </w:tc>
        <w:tc>
          <w:tcPr>
            <w:tcW w:type="dxa" w:w="2160"/>
          </w:tcPr>
          <w:p>
            <w:r>
              <w:rPr>
                <w:rFonts w:ascii="Calibri" w:hAnsi="Calibri"/>
                <w:sz w:val="22"/>
              </w:rPr>
              <w:t>High — confirms active deal market at stable spreads; O's scale and relationship-driven sourcing should yield similar or better access</w:t>
            </w:r>
          </w:p>
        </w:tc>
        <w:tc>
          <w:tcPr>
            <w:tcW w:type="dxa" w:w="2160"/>
          </w:tcPr>
          <w:p>
            <w:r>
              <w:rPr>
                <w:rFonts w:ascii="Calibri" w:hAnsi="Calibri"/>
                <w:b/>
                <w:color w:val="30A46C"/>
                <w:sz w:val="22"/>
              </w:rPr>
              <w:t>Positive</w:t>
            </w:r>
          </w:p>
        </w:tc>
      </w:tr>
      <w:tr>
        <w:tc>
          <w:tcPr>
            <w:tcW w:type="dxa" w:w="2160"/>
          </w:tcPr>
          <w:p>
            <w:r>
              <w:rPr>
                <w:rFonts w:ascii="Calibri" w:hAnsi="Calibri"/>
                <w:sz w:val="22"/>
              </w:rPr>
              <w:t>Tenant credit / occupancy</w:t>
            </w:r>
          </w:p>
        </w:tc>
        <w:tc>
          <w:tcPr>
            <w:tcW w:type="dxa" w:w="2160"/>
          </w:tcPr>
          <w:p>
            <w:r>
              <w:rPr>
                <w:rFonts w:ascii="Calibri" w:hAnsi="Calibri"/>
                <w:sz w:val="22"/>
              </w:rPr>
              <w:t>6bps Q2 credit loss; 99.8% occupancy record; watch list at multi-year low</w:t>
            </w:r>
          </w:p>
        </w:tc>
        <w:tc>
          <w:tcPr>
            <w:tcW w:type="dxa" w:w="2160"/>
          </w:tcPr>
          <w:p>
            <w:r>
              <w:rPr>
                <w:rFonts w:ascii="Calibri" w:hAnsi="Calibri"/>
                <w:sz w:val="22"/>
              </w:rPr>
              <w:t>High — O's diversified portfolio and 40bps credit loss guidance already reflects improved visibility; ADC confirms sector-wide trend</w:t>
            </w:r>
          </w:p>
        </w:tc>
        <w:tc>
          <w:tcPr>
            <w:tcW w:type="dxa" w:w="2160"/>
          </w:tcPr>
          <w:p>
            <w:r>
              <w:rPr>
                <w:rFonts w:ascii="Calibri" w:hAnsi="Calibri"/>
                <w:b/>
                <w:color w:val="30A46C"/>
                <w:sz w:val="22"/>
              </w:rPr>
              <w:t>Positive</w:t>
            </w:r>
          </w:p>
        </w:tc>
      </w:tr>
      <w:tr>
        <w:tc>
          <w:tcPr>
            <w:tcW w:type="dxa" w:w="2160"/>
          </w:tcPr>
          <w:p>
            <w:r>
              <w:rPr>
                <w:rFonts w:ascii="Calibri" w:hAnsi="Calibri"/>
                <w:sz w:val="22"/>
              </w:rPr>
              <w:t>Leasing / recapture rates</w:t>
            </w:r>
          </w:p>
        </w:tc>
        <w:tc>
          <w:tcPr>
            <w:tcW w:type="dxa" w:w="2160"/>
          </w:tcPr>
          <w:p>
            <w:r>
              <w:rPr>
                <w:rFonts w:ascii="Calibri" w:hAnsi="Calibri"/>
                <w:sz w:val="22"/>
              </w:rPr>
              <w:t>105% recapture on 760K sq ft; only 40bps ABR maturing in H2</w:t>
            </w:r>
          </w:p>
        </w:tc>
        <w:tc>
          <w:tcPr>
            <w:tcW w:type="dxa" w:w="2160"/>
          </w:tcPr>
          <w:p>
            <w:r>
              <w:rPr>
                <w:rFonts w:ascii="Calibri" w:hAnsi="Calibri"/>
                <w:sz w:val="22"/>
              </w:rPr>
              <w:t>High — O's 103%+ recapture trend is consistent; confirms pricing power in net-lease re-leasing</w:t>
            </w:r>
          </w:p>
        </w:tc>
        <w:tc>
          <w:tcPr>
            <w:tcW w:type="dxa" w:w="2160"/>
          </w:tcPr>
          <w:p>
            <w:r>
              <w:rPr>
                <w:rFonts w:ascii="Calibri" w:hAnsi="Calibri"/>
                <w:b/>
                <w:color w:val="30A46C"/>
                <w:sz w:val="22"/>
              </w:rPr>
              <w:t>Positive</w:t>
            </w:r>
          </w:p>
        </w:tc>
      </w:tr>
      <w:tr>
        <w:tc>
          <w:tcPr>
            <w:tcW w:type="dxa" w:w="2160"/>
          </w:tcPr>
          <w:p>
            <w:r>
              <w:rPr>
                <w:rFonts w:ascii="Calibri" w:hAnsi="Calibri"/>
                <w:sz w:val="22"/>
              </w:rPr>
              <w:t>Guidance trajectory</w:t>
            </w:r>
          </w:p>
        </w:tc>
        <w:tc>
          <w:tcPr>
            <w:tcW w:type="dxa" w:w="2160"/>
          </w:tcPr>
          <w:p>
            <w:r>
              <w:rPr>
                <w:rFonts w:ascii="Calibri" w:hAnsi="Calibri"/>
                <w:sz w:val="22"/>
              </w:rPr>
              <w:t>24% volume guidance raise; AFFO guidance raised $0.02 at midpoint</w:t>
            </w:r>
          </w:p>
        </w:tc>
        <w:tc>
          <w:tcPr>
            <w:tcW w:type="dxa" w:w="2160"/>
          </w:tcPr>
          <w:p>
            <w:r>
              <w:rPr>
                <w:rFonts w:ascii="Calibri" w:hAnsi="Calibri"/>
                <w:sz w:val="22"/>
              </w:rPr>
              <w:t>Moderate — O already raised guidance at Q1; ADC's raise validates the sector-wide deployment acceleration narrative</w:t>
            </w:r>
          </w:p>
        </w:tc>
        <w:tc>
          <w:tcPr>
            <w:tcW w:type="dxa" w:w="2160"/>
          </w:tcPr>
          <w:p>
            <w:r>
              <w:rPr>
                <w:rFonts w:ascii="Calibri" w:hAnsi="Calibri"/>
                <w:b/>
                <w:color w:val="30A46C"/>
                <w:sz w:val="22"/>
              </w:rPr>
              <w:t>Positive</w:t>
            </w:r>
          </w:p>
        </w:tc>
      </w:tr>
    </w:tbl>
    <w:p>
      <w:r>
        <w:rPr>
          <w:rFonts w:ascii="Calibri" w:hAnsi="Calibri"/>
          <w:i/>
          <w:color w:val="525866"/>
          <w:sz w:val="22"/>
        </w:rPr>
        <w:t>Source: ADC Q2 2026 Earnings Call Transcript (July 31, 2026).</w:t>
      </w:r>
    </w:p>
    <w:p>
      <w:pPr>
        <w:pStyle w:val="Heading3"/>
      </w:pPr>
      <w:r>
        <w:rPr>
          <w:rFonts w:ascii="Calibri" w:hAnsi="Calibri"/>
          <w:b/>
          <w:color w:val="3B4259"/>
          <w:sz w:val="24"/>
        </w:rPr>
        <w:t>8.2 NETSTREIT Corp. (NTST) — Q2 2026 Earnings Call (July 23, 2026)</w:t>
      </w:r>
    </w:p>
    <w:p>
      <w:r>
        <w:rPr>
          <w:rFonts w:ascii="Calibri" w:hAnsi="Calibri"/>
          <w:b/>
          <w:color w:val="30A46C"/>
          <w:sz w:val="22"/>
        </w:rPr>
        <w:t xml:space="preserve">Overall Read-Through: </w:t>
      </w:r>
      <w:r>
        <w:rPr>
          <w:rFonts w:ascii="Calibri" w:hAnsi="Calibri"/>
          <w:b/>
          <w:color w:val="30A46C"/>
          <w:sz w:val="22"/>
        </w:rPr>
        <w:t xml:space="preserve"> Strongly Positive</w:t>
      </w:r>
    </w:p>
    <w:p>
      <w:r>
        <w:rPr>
          <w:rFonts w:ascii="Calibri" w:hAnsi="Calibri"/>
          <w:b/>
          <w:color w:val="525866"/>
          <w:sz w:val="22"/>
        </w:rPr>
        <w:t xml:space="preserve">Supply Dynamics — Maturing Debt Creating Portfolio Opportunities: </w:t>
      </w:r>
      <w:r>
        <w:rPr>
          <w:rFonts w:ascii="Calibri" w:hAnsi="Calibri"/>
          <w:color w:val="525866"/>
          <w:sz w:val="22"/>
        </w:rPr>
        <w:t>NTST management described the current acquisitions market as the "healthiest" they can recall, driven by a structural supply dynamic: properties acquired with cheap 5-year bank debt in 2021–2022 are now facing refinancing at materially higher rates, making portfolio sales to well-capitalized buyers the preferred exit. NTST closed $298.9M of Q2 investments at a 7.4% blended cash yield (7.5–7.6% excluding the lower-cap Speedway deal), with a 9.8-year weighted average lease term. This trend is expected to continue into 2027.</w:t>
      </w:r>
    </w:p>
    <w:p>
      <w:r>
        <w:rPr>
          <w:rFonts w:ascii="Calibri" w:hAnsi="Calibri"/>
          <w:b/>
          <w:color w:val="525866"/>
          <w:sz w:val="22"/>
        </w:rPr>
        <w:t xml:space="preserve">Competition — Significantly Reduced: </w:t>
      </w:r>
      <w:r>
        <w:rPr>
          <w:rFonts w:ascii="Calibri" w:hAnsi="Calibri"/>
          <w:color w:val="525866"/>
          <w:sz w:val="22"/>
        </w:rPr>
        <w:t>NTST reported "virtually no competition" from larger private institutions (Blackstone, BlackRock, Starwood) and significantly reduced competition from 1031 buyers due to higher borrowing costs. Primary competition is now from 1031 individual buyers and small family offices. This is a direct positive for O, which competes for the same institutional-quality net-lease assets.</w:t>
      </w:r>
    </w:p>
    <w:p>
      <w:r>
        <w:rPr>
          <w:rFonts w:ascii="Calibri" w:hAnsi="Calibri"/>
          <w:b/>
          <w:color w:val="525866"/>
          <w:sz w:val="22"/>
        </w:rPr>
        <w:t xml:space="preserve">Credit / Occupancy — 100% Occupancy; Big Lots Backfilled at +20% Rent: </w:t>
      </w:r>
      <w:r>
        <w:rPr>
          <w:rFonts w:ascii="Calibri" w:hAnsi="Calibri"/>
          <w:color w:val="525866"/>
          <w:sz w:val="22"/>
        </w:rPr>
        <w:t>NTST achieved 100% occupancy after backfilling its former Big Lots vacancy with TJ Maxx at a more than 20% rent increase. Unit-level rent coverage remains healthy at 3.8x. NTST raised its full-year AFFO/share guidance bottom end to $1.37–$1.39 and raised net investment activity guidance to $700–$800M.</w:t>
      </w:r>
    </w:p>
    <w:p>
      <w:r>
        <w:rPr>
          <w:rFonts w:ascii="Calibri" w:hAnsi="Calibri"/>
          <w:b/>
          <w:color w:val="525866"/>
          <w:sz w:val="22"/>
        </w:rPr>
        <w:t xml:space="preserve">Consumer Demand — K-Shaped Economy Acknowledged: </w:t>
      </w:r>
      <w:r>
        <w:rPr>
          <w:rFonts w:ascii="Calibri" w:hAnsi="Calibri"/>
          <w:color w:val="525866"/>
          <w:sz w:val="22"/>
        </w:rPr>
        <w:t>NTST management acknowledged the "k-shaped economy is definitely real" with lower-income consumers under pressure, but noted that their focus on necessity-based retail with investment-grade tenants and strong rent coverage provides insulation. Albertsons was cited as facing "increasing pressure from softer industry trends and a more cautious consumer" — a mild negative read-through for grocery-exposed net-lease landlords.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Read-Through Dimension</w:t>
            </w:r>
          </w:p>
        </w:tc>
        <w:tc>
          <w:tcPr>
            <w:tcW w:type="dxa" w:w="2160"/>
            <w:shd w:val="clear" w:color="auto" w:fill="3B4259"/>
          </w:tcPr>
          <w:p>
            <w:r>
              <w:rPr>
                <w:rFonts w:ascii="Calibri" w:hAnsi="Calibri"/>
                <w:b/>
                <w:color w:val="FFFFFF"/>
                <w:sz w:val="22"/>
              </w:rPr>
              <w:t>NTST Signal</w:t>
            </w:r>
          </w:p>
        </w:tc>
        <w:tc>
          <w:tcPr>
            <w:tcW w:type="dxa" w:w="2160"/>
            <w:shd w:val="clear" w:color="auto" w:fill="3B4259"/>
          </w:tcPr>
          <w:p>
            <w:r>
              <w:rPr>
                <w:rFonts w:ascii="Calibri" w:hAnsi="Calibri"/>
                <w:b/>
                <w:color w:val="FFFFFF"/>
                <w:sz w:val="22"/>
              </w:rPr>
              <w:t>Transferability to O</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Deal supply / pipeline</w:t>
            </w:r>
          </w:p>
        </w:tc>
        <w:tc>
          <w:tcPr>
            <w:tcW w:type="dxa" w:w="2160"/>
          </w:tcPr>
          <w:p>
            <w:r>
              <w:rPr>
                <w:rFonts w:ascii="Calibri" w:hAnsi="Calibri"/>
                <w:sz w:val="22"/>
              </w:rPr>
              <w:t>"Healthiest market ever"; maturing 2021–22 debt driving portfolio sales; trend continues into 2027</w:t>
            </w:r>
          </w:p>
        </w:tc>
        <w:tc>
          <w:tcPr>
            <w:tcW w:type="dxa" w:w="2160"/>
          </w:tcPr>
          <w:p>
            <w:r>
              <w:rPr>
                <w:rFonts w:ascii="Calibri" w:hAnsi="Calibri"/>
                <w:sz w:val="22"/>
              </w:rPr>
              <w:t>Very High — O's scale and capital access make it a natural buyer of these portfolios; directly supports $9.5B volume guidance</w:t>
            </w:r>
          </w:p>
        </w:tc>
        <w:tc>
          <w:tcPr>
            <w:tcW w:type="dxa" w:w="2160"/>
          </w:tcPr>
          <w:p>
            <w:r>
              <w:rPr>
                <w:rFonts w:ascii="Calibri" w:hAnsi="Calibri"/>
                <w:b/>
                <w:color w:val="30A46C"/>
                <w:sz w:val="22"/>
              </w:rPr>
              <w:t>Positive</w:t>
            </w:r>
          </w:p>
        </w:tc>
      </w:tr>
      <w:tr>
        <w:tc>
          <w:tcPr>
            <w:tcW w:type="dxa" w:w="2160"/>
          </w:tcPr>
          <w:p>
            <w:r>
              <w:rPr>
                <w:rFonts w:ascii="Calibri" w:hAnsi="Calibri"/>
                <w:sz w:val="22"/>
              </w:rPr>
              <w:t>Competition intensity</w:t>
            </w:r>
          </w:p>
        </w:tc>
        <w:tc>
          <w:tcPr>
            <w:tcW w:type="dxa" w:w="2160"/>
          </w:tcPr>
          <w:p>
            <w:r>
              <w:rPr>
                <w:rFonts w:ascii="Calibri" w:hAnsi="Calibri"/>
                <w:sz w:val="22"/>
              </w:rPr>
              <w:t>"Virtually no competition" from large private institutions; 1031 buyers constrained by higher rates</w:t>
            </w:r>
          </w:p>
        </w:tc>
        <w:tc>
          <w:tcPr>
            <w:tcW w:type="dxa" w:w="2160"/>
          </w:tcPr>
          <w:p>
            <w:r>
              <w:rPr>
                <w:rFonts w:ascii="Calibri" w:hAnsi="Calibri"/>
                <w:sz w:val="22"/>
              </w:rPr>
              <w:t>High — O's primary competition (private equity, Blackstone) is sidelined; favorable for deal pricing and selectivity</w:t>
            </w:r>
          </w:p>
        </w:tc>
        <w:tc>
          <w:tcPr>
            <w:tcW w:type="dxa" w:w="2160"/>
          </w:tcPr>
          <w:p>
            <w:r>
              <w:rPr>
                <w:rFonts w:ascii="Calibri" w:hAnsi="Calibri"/>
                <w:b/>
                <w:color w:val="30A46C"/>
                <w:sz w:val="22"/>
              </w:rPr>
              <w:t>Positive</w:t>
            </w:r>
          </w:p>
        </w:tc>
      </w:tr>
      <w:tr>
        <w:tc>
          <w:tcPr>
            <w:tcW w:type="dxa" w:w="2160"/>
          </w:tcPr>
          <w:p>
            <w:r>
              <w:rPr>
                <w:rFonts w:ascii="Calibri" w:hAnsi="Calibri"/>
                <w:sz w:val="22"/>
              </w:rPr>
              <w:t>Consumer / tenant health</w:t>
            </w:r>
          </w:p>
        </w:tc>
        <w:tc>
          <w:tcPr>
            <w:tcW w:type="dxa" w:w="2160"/>
          </w:tcPr>
          <w:p>
            <w:r>
              <w:rPr>
                <w:rFonts w:ascii="Calibri" w:hAnsi="Calibri"/>
                <w:sz w:val="22"/>
              </w:rPr>
              <w:t>K-shaped economy; lower-income consumer under pressure; grocery facing headwinds (Albertsons)</w:t>
            </w:r>
          </w:p>
        </w:tc>
        <w:tc>
          <w:tcPr>
            <w:tcW w:type="dxa" w:w="2160"/>
          </w:tcPr>
          <w:p>
            <w:r>
              <w:rPr>
                <w:rFonts w:ascii="Calibri" w:hAnsi="Calibri"/>
                <w:sz w:val="22"/>
              </w:rPr>
              <w:t>Moderate — O's 78% retail exposure includes grocery and convenience; Albertsons commentary is a mild watch item but O's diversification limits concentration risk</w:t>
            </w:r>
          </w:p>
        </w:tc>
        <w:tc>
          <w:tcPr>
            <w:tcW w:type="dxa" w:w="2160"/>
          </w:tcPr>
          <w:p>
            <w:r>
              <w:rPr>
                <w:rFonts w:ascii="Calibri" w:hAnsi="Calibri"/>
                <w:b/>
                <w:color w:val="002FA7"/>
                <w:sz w:val="22"/>
              </w:rPr>
              <w:t>Neutral / Slight Caution</w:t>
            </w:r>
          </w:p>
        </w:tc>
      </w:tr>
    </w:tbl>
    <w:p>
      <w:r>
        <w:rPr>
          <w:rFonts w:ascii="Calibri" w:hAnsi="Calibri"/>
          <w:i/>
          <w:color w:val="525866"/>
          <w:sz w:val="22"/>
        </w:rPr>
        <w:t>Source: NTST Q2 2026 Earnings Call Transcript (July 23, 2026).</w:t>
      </w:r>
    </w:p>
    <w:p>
      <w:pPr>
        <w:pStyle w:val="Heading3"/>
      </w:pPr>
      <w:r>
        <w:rPr>
          <w:rFonts w:ascii="Calibri" w:hAnsi="Calibri"/>
          <w:b/>
          <w:color w:val="3B4259"/>
          <w:sz w:val="24"/>
        </w:rPr>
        <w:t>8.3 Getty Realty (GTY) — Q2 2026 Earnings Call (July 23, 2026)</w:t>
      </w:r>
    </w:p>
    <w:p>
      <w:r>
        <w:rPr>
          <w:rFonts w:ascii="Calibri" w:hAnsi="Calibri"/>
          <w:b/>
          <w:color w:val="30A46C"/>
          <w:sz w:val="22"/>
        </w:rPr>
        <w:t xml:space="preserve">Overall Read-Through: </w:t>
      </w:r>
      <w:r>
        <w:rPr>
          <w:rFonts w:ascii="Calibri" w:hAnsi="Calibri"/>
          <w:b/>
          <w:color w:val="30A46C"/>
          <w:sz w:val="22"/>
        </w:rPr>
        <w:t xml:space="preserve"> Positive</w:t>
      </w:r>
    </w:p>
    <w:p>
      <w:r>
        <w:rPr>
          <w:rFonts w:ascii="Calibri" w:hAnsi="Calibri"/>
          <w:b/>
          <w:color w:val="525866"/>
          <w:sz w:val="22"/>
        </w:rPr>
        <w:t xml:space="preserve">Operating Performance — 5.1% AFFO Growth; Second Guidance Raise: </w:t>
      </w:r>
      <w:r>
        <w:rPr>
          <w:rFonts w:ascii="Calibri" w:hAnsi="Calibri"/>
          <w:color w:val="525866"/>
          <w:sz w:val="22"/>
        </w:rPr>
        <w:t>GTY reported 5.1% AFFO/share growth in Q2 2026 and raised its full-year AFFO guidance for the second time this year to $2.52–$2.54. Portfolio occupancy was 99.8% (ex-redevelopment), rent coverage stable at 2.5x trailing 12 months, and no realized credit losses to date. The company maintained a 25bps credit loss assumption in its models.</w:t>
      </w:r>
    </w:p>
    <w:p>
      <w:r>
        <w:rPr>
          <w:rFonts w:ascii="Calibri" w:hAnsi="Calibri"/>
          <w:b/>
          <w:color w:val="525866"/>
          <w:sz w:val="22"/>
        </w:rPr>
        <w:t xml:space="preserve">Capital Markets — Improving Cost of Capital; Wider Deal Access: </w:t>
      </w:r>
      <w:r>
        <w:rPr>
          <w:rFonts w:ascii="Calibri" w:hAnsi="Calibri"/>
          <w:color w:val="525866"/>
          <w:sz w:val="22"/>
        </w:rPr>
        <w:t>GTY described an "improving cost of capital" that has opened opportunities to compete for transactions in the "low to mid 7%" cap rate range that were previously uneconomic. Spreads have "largely remained constant, if not increased a little bit." A 10-year note would price at approximately 6.25% (driven by the 10-year Treasury), with credit markets described as "open and constructive." Net debt to EBITDA was 5.3x (4.3x including unsettled forward equity), within the 4.5–5.5x target range.</w:t>
      </w:r>
    </w:p>
    <w:p>
      <w:r>
        <w:rPr>
          <w:rFonts w:ascii="Calibri" w:hAnsi="Calibri"/>
          <w:b/>
          <w:color w:val="525866"/>
          <w:sz w:val="22"/>
        </w:rPr>
        <w:t xml:space="preserve">Consumer Demand — Resilient in Core Sectors: </w:t>
      </w:r>
      <w:r>
        <w:rPr>
          <w:rFonts w:ascii="Calibri" w:hAnsi="Calibri"/>
          <w:color w:val="525866"/>
          <w:sz w:val="22"/>
        </w:rPr>
        <w:t>GTY's convenience and automotive retail tenants reported "modest increases in same-store sales" and continued year-over-year growth in both convenience retail sales and automotive service revenue. Fuel margins averaged $0.46/gallon in Q1 2026 (+10% vs. Q1 2025), described as "very healthy." Macro challenges have "not resulted in a material deterioration in consumer demand."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Read-Through Dimension</w:t>
            </w:r>
          </w:p>
        </w:tc>
        <w:tc>
          <w:tcPr>
            <w:tcW w:type="dxa" w:w="2160"/>
            <w:shd w:val="clear" w:color="auto" w:fill="3B4259"/>
          </w:tcPr>
          <w:p>
            <w:r>
              <w:rPr>
                <w:rFonts w:ascii="Calibri" w:hAnsi="Calibri"/>
                <w:b/>
                <w:color w:val="FFFFFF"/>
                <w:sz w:val="22"/>
              </w:rPr>
              <w:t>GTY Signal</w:t>
            </w:r>
          </w:p>
        </w:tc>
        <w:tc>
          <w:tcPr>
            <w:tcW w:type="dxa" w:w="2160"/>
            <w:shd w:val="clear" w:color="auto" w:fill="3B4259"/>
          </w:tcPr>
          <w:p>
            <w:r>
              <w:rPr>
                <w:rFonts w:ascii="Calibri" w:hAnsi="Calibri"/>
                <w:b/>
                <w:color w:val="FFFFFF"/>
                <w:sz w:val="22"/>
              </w:rPr>
              <w:t>Transferability to O</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Cost of capital / deal access</w:t>
            </w:r>
          </w:p>
        </w:tc>
        <w:tc>
          <w:tcPr>
            <w:tcW w:type="dxa" w:w="2160"/>
          </w:tcPr>
          <w:p>
            <w:r>
              <w:rPr>
                <w:rFonts w:ascii="Calibri" w:hAnsi="Calibri"/>
                <w:sz w:val="22"/>
              </w:rPr>
              <w:t>Improving cost of capital opening low-to-mid 7% cap rate deals; spreads stable to slightly wider</w:t>
            </w:r>
          </w:p>
        </w:tc>
        <w:tc>
          <w:tcPr>
            <w:tcW w:type="dxa" w:w="2160"/>
          </w:tcPr>
          <w:p>
            <w:r>
              <w:rPr>
                <w:rFonts w:ascii="Calibri" w:hAnsi="Calibri"/>
                <w:sz w:val="22"/>
              </w:rPr>
              <w:t>High — O's superior credit rating (A-/A3) and European debt access (~100bps inside U.S.) give it even better cost of capital than GTY; confirms accretive spread environment</w:t>
            </w:r>
          </w:p>
        </w:tc>
        <w:tc>
          <w:tcPr>
            <w:tcW w:type="dxa" w:w="2160"/>
          </w:tcPr>
          <w:p>
            <w:r>
              <w:rPr>
                <w:rFonts w:ascii="Calibri" w:hAnsi="Calibri"/>
                <w:b/>
                <w:color w:val="30A46C"/>
                <w:sz w:val="22"/>
              </w:rPr>
              <w:t>Positive</w:t>
            </w:r>
          </w:p>
        </w:tc>
      </w:tr>
      <w:tr>
        <w:tc>
          <w:tcPr>
            <w:tcW w:type="dxa" w:w="2160"/>
          </w:tcPr>
          <w:p>
            <w:r>
              <w:rPr>
                <w:rFonts w:ascii="Calibri" w:hAnsi="Calibri"/>
                <w:sz w:val="22"/>
              </w:rPr>
              <w:t>Credit quality / occupancy</w:t>
            </w:r>
          </w:p>
        </w:tc>
        <w:tc>
          <w:tcPr>
            <w:tcW w:type="dxa" w:w="2160"/>
          </w:tcPr>
          <w:p>
            <w:r>
              <w:rPr>
                <w:rFonts w:ascii="Calibri" w:hAnsi="Calibri"/>
                <w:sz w:val="22"/>
              </w:rPr>
              <w:t>No realized credit losses; 99.8% occupancy; 2.5x rent coverage stable</w:t>
            </w:r>
          </w:p>
        </w:tc>
        <w:tc>
          <w:tcPr>
            <w:tcW w:type="dxa" w:w="2160"/>
          </w:tcPr>
          <w:p>
            <w:r>
              <w:rPr>
                <w:rFonts w:ascii="Calibri" w:hAnsi="Calibri"/>
                <w:sz w:val="22"/>
              </w:rPr>
              <w:t>High — O's 40bps credit loss guidance and 98.9% occupancy are consistent with GTY's experience; sector-wide credit quality is strong</w:t>
            </w:r>
          </w:p>
        </w:tc>
        <w:tc>
          <w:tcPr>
            <w:tcW w:type="dxa" w:w="2160"/>
          </w:tcPr>
          <w:p>
            <w:r>
              <w:rPr>
                <w:rFonts w:ascii="Calibri" w:hAnsi="Calibri"/>
                <w:b/>
                <w:color w:val="30A46C"/>
                <w:sz w:val="22"/>
              </w:rPr>
              <w:t>Positive</w:t>
            </w:r>
          </w:p>
        </w:tc>
      </w:tr>
      <w:tr>
        <w:tc>
          <w:tcPr>
            <w:tcW w:type="dxa" w:w="2160"/>
          </w:tcPr>
          <w:p>
            <w:r>
              <w:rPr>
                <w:rFonts w:ascii="Calibri" w:hAnsi="Calibri"/>
                <w:sz w:val="22"/>
              </w:rPr>
              <w:t>Consumer / tenant demand</w:t>
            </w:r>
          </w:p>
        </w:tc>
        <w:tc>
          <w:tcPr>
            <w:tcW w:type="dxa" w:w="2160"/>
          </w:tcPr>
          <w:p>
            <w:r>
              <w:rPr>
                <w:rFonts w:ascii="Calibri" w:hAnsi="Calibri"/>
                <w:sz w:val="22"/>
              </w:rPr>
              <w:t>Convenience and auto service sales growing YoY; fuel margins at multi-year highs</w:t>
            </w:r>
          </w:p>
        </w:tc>
        <w:tc>
          <w:tcPr>
            <w:tcW w:type="dxa" w:w="2160"/>
          </w:tcPr>
          <w:p>
            <w:r>
              <w:rPr>
                <w:rFonts w:ascii="Calibri" w:hAnsi="Calibri"/>
                <w:sz w:val="22"/>
              </w:rPr>
              <w:t>Moderate — O has limited direct convenience/auto exposure but the broader "necessity retail" health signal is positive for O's grocery and convenience tenants</w:t>
            </w:r>
          </w:p>
        </w:tc>
        <w:tc>
          <w:tcPr>
            <w:tcW w:type="dxa" w:w="2160"/>
          </w:tcPr>
          <w:p>
            <w:r>
              <w:rPr>
                <w:rFonts w:ascii="Calibri" w:hAnsi="Calibri"/>
                <w:b/>
                <w:color w:val="30A46C"/>
                <w:sz w:val="22"/>
              </w:rPr>
              <w:t>Positive</w:t>
            </w:r>
          </w:p>
        </w:tc>
      </w:tr>
    </w:tbl>
    <w:p>
      <w:r>
        <w:rPr>
          <w:rFonts w:ascii="Calibri" w:hAnsi="Calibri"/>
          <w:i/>
          <w:color w:val="525866"/>
          <w:sz w:val="22"/>
        </w:rPr>
        <w:t>Source: GTY Q2 2026 Earnings Call Transcript (July 23, 2026).</w:t>
      </w:r>
    </w:p>
    <w:p>
      <w:pPr>
        <w:pStyle w:val="Heading3"/>
      </w:pPr>
      <w:r>
        <w:rPr>
          <w:rFonts w:ascii="Calibri" w:hAnsi="Calibri"/>
          <w:b/>
          <w:color w:val="3B4259"/>
          <w:sz w:val="24"/>
        </w:rPr>
        <w:t>8.4 Four Corners Property Trust (FCPT) — Q2 2026 Earnings Call (July 30, 2026)</w:t>
      </w:r>
    </w:p>
    <w:p>
      <w:r>
        <w:rPr>
          <w:rFonts w:ascii="Calibri" w:hAnsi="Calibri"/>
          <w:b/>
          <w:color w:val="30A46C"/>
          <w:sz w:val="22"/>
        </w:rPr>
        <w:t xml:space="preserve">Overall Read-Through: </w:t>
      </w:r>
      <w:r>
        <w:rPr>
          <w:rFonts w:ascii="Calibri" w:hAnsi="Calibri"/>
          <w:b/>
          <w:color w:val="30A46C"/>
          <w:sz w:val="22"/>
        </w:rPr>
        <w:t xml:space="preserve"> Positive (Debt Markets Focus)</w:t>
      </w:r>
    </w:p>
    <w:p>
      <w:r>
        <w:rPr>
          <w:rFonts w:ascii="Calibri" w:hAnsi="Calibri"/>
          <w:b/>
          <w:color w:val="525866"/>
          <w:sz w:val="22"/>
        </w:rPr>
        <w:t xml:space="preserve">Debt Capital Markets — $600M in Attractive Financings Since April: </w:t>
      </w:r>
      <w:r>
        <w:rPr>
          <w:rFonts w:ascii="Calibri" w:hAnsi="Calibri"/>
          <w:color w:val="525866"/>
          <w:sz w:val="22"/>
        </w:rPr>
        <w:t>FCPT closed $600M in new debt capital since April 2026, including a $200M 7-year term loan at SOFR+125bps and a $400M 5-year term loan at SOFR+90bps, with all-in rates of approximately 4.5%–4.9%. These coupons represent approximately 200bps of spread to FCPT's historical investment yields. The company also achieved $450K in annual interest savings through credit spread compression on an $800M facility refresh. Pro forma, FCPT is fully undrawn on its $350M revolver with all near-term maturities removed.</w:t>
      </w:r>
    </w:p>
    <w:p>
      <w:r>
        <w:rPr>
          <w:rFonts w:ascii="Calibri" w:hAnsi="Calibri"/>
          <w:b/>
          <w:color w:val="525866"/>
          <w:sz w:val="22"/>
        </w:rPr>
        <w:t xml:space="preserve">Investment Activity — Record YTD Volume; Mission Pet Health Acquisition: </w:t>
      </w:r>
      <w:r>
        <w:rPr>
          <w:rFonts w:ascii="Calibri" w:hAnsi="Calibri"/>
          <w:color w:val="525866"/>
          <w:sz w:val="22"/>
        </w:rPr>
        <w:t>FCPT surpassed its previous record annual investment volume YTD, acquiring $382M at a blended 6.6% cash cap rate. Subsequent to Q2, FCPT completed its largest-ever acquisition: a 102-property Mission Pet Health portfolio for $268M at ~$17.4M annualized cash rent (~6.5% cap rate), featuring 2% annual rent growth and 6x+ unit-level coverage. Q2 acquisitions were weighted toward automotive (64%) and restaurant (22%).</w:t>
      </w:r>
    </w:p>
    <w:p>
      <w:r>
        <w:rPr>
          <w:rFonts w:ascii="Calibri" w:hAnsi="Calibri"/>
          <w:b/>
          <w:color w:val="525866"/>
          <w:sz w:val="22"/>
        </w:rPr>
        <w:t xml:space="preserve">Tenant Credit — No Material Issues; Darden Bahama Breeze Closures Manageable: </w:t>
      </w:r>
      <w:r>
        <w:rPr>
          <w:rFonts w:ascii="Calibri" w:hAnsi="Calibri"/>
          <w:color w:val="525866"/>
          <w:sz w:val="22"/>
        </w:rPr>
        <w:t>FCPT reported no major tenant credit issues, very low bad debt expense, and 99.5% portfolio occupancy. Darden's Bahama Breeze closures (4 of 10 FCPT properties, ~0.5% of ABR) are supported by Darden lease commitments through expiration (1–4 years) with strong backfill demand. Olive Garden, Longhorn, and Chili's reported same-store sales growth of 2.4%, 9.5%, and 4%, respectively.</w:t>
      </w:r>
    </w:p>
    <w:p>
      <w:r>
        <w:rPr>
          <w:rFonts w:ascii="Calibri" w:hAnsi="Calibri"/>
          <w:b/>
          <w:color w:val="525866"/>
          <w:sz w:val="22"/>
        </w:rPr>
        <w:t xml:space="preserve">Equity Markets — Mild Caution: </w:t>
      </w:r>
      <w:r>
        <w:rPr>
          <w:rFonts w:ascii="Calibri" w:hAnsi="Calibri"/>
          <w:color w:val="525866"/>
          <w:sz w:val="22"/>
        </w:rPr>
        <w:t>FCPT's CEO noted that the equity cost of capital is in the "yellow zone" and "not where we want it to be," suggesting that while debt markets are strong, equity markets may not be fully appreciating net-lease REIT growth. This is a mild sector-wide caution that could apply to O's ATM equity issuance economics.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Read-Through Dimension</w:t>
            </w:r>
          </w:p>
        </w:tc>
        <w:tc>
          <w:tcPr>
            <w:tcW w:type="dxa" w:w="2160"/>
            <w:shd w:val="clear" w:color="auto" w:fill="3B4259"/>
          </w:tcPr>
          <w:p>
            <w:r>
              <w:rPr>
                <w:rFonts w:ascii="Calibri" w:hAnsi="Calibri"/>
                <w:b/>
                <w:color w:val="FFFFFF"/>
                <w:sz w:val="22"/>
              </w:rPr>
              <w:t>FCPT Signal</w:t>
            </w:r>
          </w:p>
        </w:tc>
        <w:tc>
          <w:tcPr>
            <w:tcW w:type="dxa" w:w="2160"/>
            <w:shd w:val="clear" w:color="auto" w:fill="3B4259"/>
          </w:tcPr>
          <w:p>
            <w:r>
              <w:rPr>
                <w:rFonts w:ascii="Calibri" w:hAnsi="Calibri"/>
                <w:b/>
                <w:color w:val="FFFFFF"/>
                <w:sz w:val="22"/>
              </w:rPr>
              <w:t>Transferability to O</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Debt capital markets</w:t>
            </w:r>
          </w:p>
        </w:tc>
        <w:tc>
          <w:tcPr>
            <w:tcW w:type="dxa" w:w="2160"/>
          </w:tcPr>
          <w:p>
            <w:r>
              <w:rPr>
                <w:rFonts w:ascii="Calibri" w:hAnsi="Calibri"/>
                <w:sz w:val="22"/>
              </w:rPr>
              <w:t>$600M at 4.5–4.9% all-in; 200bps spread to investment yields; spread compression on existing facilities</w:t>
            </w:r>
          </w:p>
        </w:tc>
        <w:tc>
          <w:tcPr>
            <w:tcW w:type="dxa" w:w="2160"/>
          </w:tcPr>
          <w:p>
            <w:r>
              <w:rPr>
                <w:rFonts w:ascii="Calibri" w:hAnsi="Calibri"/>
                <w:sz w:val="22"/>
              </w:rPr>
              <w:t>Very High — O's A-/A3 rating and European debt access give it even better terms; confirms robust debt market for net-lease REITs</w:t>
            </w:r>
          </w:p>
        </w:tc>
        <w:tc>
          <w:tcPr>
            <w:tcW w:type="dxa" w:w="2160"/>
          </w:tcPr>
          <w:p>
            <w:r>
              <w:rPr>
                <w:rFonts w:ascii="Calibri" w:hAnsi="Calibri"/>
                <w:b/>
                <w:color w:val="30A46C"/>
                <w:sz w:val="22"/>
              </w:rPr>
              <w:t>Positive</w:t>
            </w:r>
          </w:p>
        </w:tc>
      </w:tr>
      <w:tr>
        <w:tc>
          <w:tcPr>
            <w:tcW w:type="dxa" w:w="2160"/>
          </w:tcPr>
          <w:p>
            <w:r>
              <w:rPr>
                <w:rFonts w:ascii="Calibri" w:hAnsi="Calibri"/>
                <w:sz w:val="22"/>
              </w:rPr>
              <w:t>Investment volume / cap rates</w:t>
            </w:r>
          </w:p>
        </w:tc>
        <w:tc>
          <w:tcPr>
            <w:tcW w:type="dxa" w:w="2160"/>
          </w:tcPr>
          <w:p>
            <w:r>
              <w:rPr>
                <w:rFonts w:ascii="Calibri" w:hAnsi="Calibri"/>
                <w:sz w:val="22"/>
              </w:rPr>
              <w:t>Record YTD $382M at 6.6% cap rate; Mission Pet Health $268M at ~6.5%</w:t>
            </w:r>
          </w:p>
        </w:tc>
        <w:tc>
          <w:tcPr>
            <w:tcW w:type="dxa" w:w="2160"/>
          </w:tcPr>
          <w:p>
            <w:r>
              <w:rPr>
                <w:rFonts w:ascii="Calibri" w:hAnsi="Calibri"/>
                <w:sz w:val="22"/>
              </w:rPr>
              <w:t>Moderate — FCPT's smaller scale and restaurant focus differ from O; but confirms active deal market at stable cap rates</w:t>
            </w:r>
          </w:p>
        </w:tc>
        <w:tc>
          <w:tcPr>
            <w:tcW w:type="dxa" w:w="2160"/>
          </w:tcPr>
          <w:p>
            <w:r>
              <w:rPr>
                <w:rFonts w:ascii="Calibri" w:hAnsi="Calibri"/>
                <w:b/>
                <w:color w:val="30A46C"/>
                <w:sz w:val="22"/>
              </w:rPr>
              <w:t>Positive</w:t>
            </w:r>
          </w:p>
        </w:tc>
      </w:tr>
      <w:tr>
        <w:tc>
          <w:tcPr>
            <w:tcW w:type="dxa" w:w="2160"/>
          </w:tcPr>
          <w:p>
            <w:r>
              <w:rPr>
                <w:rFonts w:ascii="Calibri" w:hAnsi="Calibri"/>
                <w:sz w:val="22"/>
              </w:rPr>
              <w:t>Equity cost of capital</w:t>
            </w:r>
          </w:p>
        </w:tc>
        <w:tc>
          <w:tcPr>
            <w:tcW w:type="dxa" w:w="2160"/>
          </w:tcPr>
          <w:p>
            <w:r>
              <w:rPr>
                <w:rFonts w:ascii="Calibri" w:hAnsi="Calibri"/>
                <w:sz w:val="22"/>
              </w:rPr>
              <w:t>"Yellow zone" — not where management wants it</w:t>
            </w:r>
          </w:p>
        </w:tc>
        <w:tc>
          <w:tcPr>
            <w:tcW w:type="dxa" w:w="2160"/>
          </w:tcPr>
          <w:p>
            <w:r>
              <w:rPr>
                <w:rFonts w:ascii="Calibri" w:hAnsi="Calibri"/>
                <w:sz w:val="22"/>
              </w:rPr>
              <w:t>Moderate — O's larger scale and index inclusion provide better equity access, but sector-wide equity cost of capital is a watch item for ATM issuance economics</w:t>
            </w:r>
          </w:p>
        </w:tc>
        <w:tc>
          <w:tcPr>
            <w:tcW w:type="dxa" w:w="2160"/>
          </w:tcPr>
          <w:p>
            <w:r>
              <w:rPr>
                <w:rFonts w:ascii="Calibri" w:hAnsi="Calibri"/>
                <w:b/>
                <w:color w:val="002FA7"/>
                <w:sz w:val="22"/>
              </w:rPr>
              <w:t>Neutral / Slight Caution</w:t>
            </w:r>
          </w:p>
        </w:tc>
      </w:tr>
    </w:tbl>
    <w:p>
      <w:r>
        <w:rPr>
          <w:rFonts w:ascii="Calibri" w:hAnsi="Calibri"/>
          <w:i/>
          <w:color w:val="525866"/>
          <w:sz w:val="22"/>
        </w:rPr>
        <w:t>Source: FCPT Q2 2026 Earnings Call Transcript (July 30, 2026).</w:t>
      </w:r>
    </w:p>
    <w:p>
      <w:pPr>
        <w:pStyle w:val="Heading3"/>
      </w:pPr>
      <w:r>
        <w:rPr>
          <w:rFonts w:ascii="Calibri" w:hAnsi="Calibri"/>
          <w:b/>
          <w:color w:val="3B4259"/>
          <w:sz w:val="24"/>
        </w:rPr>
        <w:t>8.5 Kimco Realty (KIM) — Q2 2026 Earnings Call (August 4, 2026)</w:t>
      </w:r>
    </w:p>
    <w:p>
      <w:r>
        <w:rPr>
          <w:rFonts w:ascii="Calibri" w:hAnsi="Calibri"/>
          <w:b/>
          <w:color w:val="30A46C"/>
          <w:sz w:val="22"/>
        </w:rPr>
        <w:t xml:space="preserve">Overall Read-Through: </w:t>
      </w:r>
      <w:r>
        <w:rPr>
          <w:rFonts w:ascii="Calibri" w:hAnsi="Calibri"/>
          <w:b/>
          <w:color w:val="30A46C"/>
          <w:sz w:val="22"/>
        </w:rPr>
        <w:t xml:space="preserve"> Positive (Retail Demand &amp; Consumer Health)</w:t>
      </w:r>
    </w:p>
    <w:p>
      <w:r>
        <w:rPr>
          <w:rFonts w:ascii="Calibri" w:hAnsi="Calibri"/>
          <w:b/>
          <w:color w:val="525866"/>
          <w:sz w:val="22"/>
        </w:rPr>
        <w:t xml:space="preserve">Retail Demand — 19th Consecutive Quarter of Double-Digit New Leasing Spreads: </w:t>
      </w:r>
      <w:r>
        <w:rPr>
          <w:rFonts w:ascii="Calibri" w:hAnsi="Calibri"/>
          <w:color w:val="525866"/>
          <w:sz w:val="22"/>
        </w:rPr>
        <w:t>Kimco signed 461 leases across 2.5M sq ft in Q2 at a blended spread of 13.1%, with new leasing spreads of 40.4% (19th consecutive quarter of double-digit new leasing spreads). Small shop occupancy hit a record high of 92.9%. The company raised the lower end of its FY2026 FFO guidance to $1.83/share and raised same-property NOI growth guidance to 3.0–3.5% (from 2.8–3.5%). The board increased the quarterly dividend by 12% YoY.</w:t>
      </w:r>
    </w:p>
    <w:p>
      <w:r>
        <w:rPr>
          <w:rFonts w:ascii="Calibri" w:hAnsi="Calibri"/>
          <w:b/>
          <w:color w:val="525866"/>
          <w:sz w:val="22"/>
        </w:rPr>
        <w:t xml:space="preserve">Consumer Health — Resilient Across Income Levels: </w:t>
      </w:r>
      <w:r>
        <w:rPr>
          <w:rFonts w:ascii="Calibri" w:hAnsi="Calibri"/>
          <w:color w:val="525866"/>
          <w:sz w:val="22"/>
        </w:rPr>
        <w:t>Kimco described the consumer as "incredibly resilient," with seven consecutive months of spending improvement. Middle-income spending is up ~5.5% and low-income spending up ~3.5%, supported by "incredibly low" unemployment and low job turnover. Credit loss improved to 57bps in Q2 (vs. 89bps in Q2 2025), and the full-year credit loss assumption was tightened to 55–75bps.</w:t>
      </w:r>
    </w:p>
    <w:p>
      <w:r>
        <w:rPr>
          <w:rFonts w:ascii="Calibri" w:hAnsi="Calibri"/>
          <w:b/>
          <w:color w:val="525866"/>
          <w:sz w:val="22"/>
        </w:rPr>
        <w:t xml:space="preserve">Capital Recycling — Competitive Transaction Market: </w:t>
      </w:r>
      <w:r>
        <w:rPr>
          <w:rFonts w:ascii="Calibri" w:hAnsi="Calibri"/>
          <w:color w:val="525866"/>
          <w:sz w:val="22"/>
        </w:rPr>
        <w:t>Kimco described cap rates as "very competitive" with "lots of capital chasing all formats, all geographies." The company monetized a multifamily asset at a 4.9% cap rate and executed a 1031 exchange from low-growth Costco leases (sub-6% unlevered IRR) into South Florida grocery-anchored centers (north of 9% unlevered IRR). Structured investment program averaging over 10% yields.</w:t>
      </w:r>
    </w:p>
    <w:p>
      <w:r>
        <w:rPr>
          <w:rFonts w:ascii="Calibri" w:hAnsi="Calibri"/>
          <w:b/>
          <w:color w:val="525866"/>
          <w:sz w:val="22"/>
        </w:rPr>
        <w:t xml:space="preserve">Technology / AI — 5x Return on AI Investment: </w:t>
      </w:r>
      <w:r>
        <w:rPr>
          <w:rFonts w:ascii="Calibri" w:hAnsi="Calibri"/>
          <w:color w:val="525866"/>
          <w:sz w:val="22"/>
        </w:rPr>
        <w:t>Kimco reported AI utilization above 80% among associates, with AI-powered workflows in asset management, leasing, underwriting, and legal generating approximately a 5x return on AI investment YTD. This is directionally consistent with O's own AI/data platform investment narrative.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Read-Through Dimension</w:t>
            </w:r>
          </w:p>
        </w:tc>
        <w:tc>
          <w:tcPr>
            <w:tcW w:type="dxa" w:w="2160"/>
            <w:shd w:val="clear" w:color="auto" w:fill="3B4259"/>
          </w:tcPr>
          <w:p>
            <w:r>
              <w:rPr>
                <w:rFonts w:ascii="Calibri" w:hAnsi="Calibri"/>
                <w:b/>
                <w:color w:val="FFFFFF"/>
                <w:sz w:val="22"/>
              </w:rPr>
              <w:t>KIM Signal</w:t>
            </w:r>
          </w:p>
        </w:tc>
        <w:tc>
          <w:tcPr>
            <w:tcW w:type="dxa" w:w="2160"/>
            <w:shd w:val="clear" w:color="auto" w:fill="3B4259"/>
          </w:tcPr>
          <w:p>
            <w:r>
              <w:rPr>
                <w:rFonts w:ascii="Calibri" w:hAnsi="Calibri"/>
                <w:b/>
                <w:color w:val="FFFFFF"/>
                <w:sz w:val="22"/>
              </w:rPr>
              <w:t>Transferability to O</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Retail tenant demand</w:t>
            </w:r>
          </w:p>
        </w:tc>
        <w:tc>
          <w:tcPr>
            <w:tcW w:type="dxa" w:w="2160"/>
          </w:tcPr>
          <w:p>
            <w:r>
              <w:rPr>
                <w:rFonts w:ascii="Calibri" w:hAnsi="Calibri"/>
                <w:sz w:val="22"/>
              </w:rPr>
              <w:t>19th consecutive quarter of double-digit new leasing spreads; record small shop occupancy; supply muted vs. demand</w:t>
            </w:r>
          </w:p>
        </w:tc>
        <w:tc>
          <w:tcPr>
            <w:tcW w:type="dxa" w:w="2160"/>
          </w:tcPr>
          <w:p>
            <w:r>
              <w:rPr>
                <w:rFonts w:ascii="Calibri" w:hAnsi="Calibri"/>
                <w:sz w:val="22"/>
              </w:rPr>
              <w:t>High — strong retailer demand for quality locations directly supports O's re-leasing economics and occupancy; confirms pricing power in retail net-lease</w:t>
            </w:r>
          </w:p>
        </w:tc>
        <w:tc>
          <w:tcPr>
            <w:tcW w:type="dxa" w:w="2160"/>
          </w:tcPr>
          <w:p>
            <w:r>
              <w:rPr>
                <w:rFonts w:ascii="Calibri" w:hAnsi="Calibri"/>
                <w:b/>
                <w:color w:val="30A46C"/>
                <w:sz w:val="22"/>
              </w:rPr>
              <w:t>Positive</w:t>
            </w:r>
          </w:p>
        </w:tc>
      </w:tr>
      <w:tr>
        <w:tc>
          <w:tcPr>
            <w:tcW w:type="dxa" w:w="2160"/>
          </w:tcPr>
          <w:p>
            <w:r>
              <w:rPr>
                <w:rFonts w:ascii="Calibri" w:hAnsi="Calibri"/>
                <w:sz w:val="22"/>
              </w:rPr>
              <w:t>Consumer health</w:t>
            </w:r>
          </w:p>
        </w:tc>
        <w:tc>
          <w:tcPr>
            <w:tcW w:type="dxa" w:w="2160"/>
          </w:tcPr>
          <w:p>
            <w:r>
              <w:rPr>
                <w:rFonts w:ascii="Calibri" w:hAnsi="Calibri"/>
                <w:sz w:val="22"/>
              </w:rPr>
              <w:t>"Incredibly resilient" consumer; spending positive across all income levels; 7 consecutive months of improvement</w:t>
            </w:r>
          </w:p>
        </w:tc>
        <w:tc>
          <w:tcPr>
            <w:tcW w:type="dxa" w:w="2160"/>
          </w:tcPr>
          <w:p>
            <w:r>
              <w:rPr>
                <w:rFonts w:ascii="Calibri" w:hAnsi="Calibri"/>
                <w:sz w:val="22"/>
              </w:rPr>
              <w:t>High — O's necessity-based retail tenants (grocery, convenience, QSR) benefit directly from resilient consumer spending; supports rent coverage and credit quality</w:t>
            </w:r>
          </w:p>
        </w:tc>
        <w:tc>
          <w:tcPr>
            <w:tcW w:type="dxa" w:w="2160"/>
          </w:tcPr>
          <w:p>
            <w:r>
              <w:rPr>
                <w:rFonts w:ascii="Calibri" w:hAnsi="Calibri"/>
                <w:b/>
                <w:color w:val="30A46C"/>
                <w:sz w:val="22"/>
              </w:rPr>
              <w:t>Positive</w:t>
            </w:r>
          </w:p>
        </w:tc>
      </w:tr>
      <w:tr>
        <w:tc>
          <w:tcPr>
            <w:tcW w:type="dxa" w:w="2160"/>
          </w:tcPr>
          <w:p>
            <w:r>
              <w:rPr>
                <w:rFonts w:ascii="Calibri" w:hAnsi="Calibri"/>
                <w:sz w:val="22"/>
              </w:rPr>
              <w:t>Credit loss trends</w:t>
            </w:r>
          </w:p>
        </w:tc>
        <w:tc>
          <w:tcPr>
            <w:tcW w:type="dxa" w:w="2160"/>
          </w:tcPr>
          <w:p>
            <w:r>
              <w:rPr>
                <w:rFonts w:ascii="Calibri" w:hAnsi="Calibri"/>
                <w:sz w:val="22"/>
              </w:rPr>
              <w:t>57bps Q2 credit loss (vs. 89bps Q2 2025); full-year guidance tightened to 55–75bps</w:t>
            </w:r>
          </w:p>
        </w:tc>
        <w:tc>
          <w:tcPr>
            <w:tcW w:type="dxa" w:w="2160"/>
          </w:tcPr>
          <w:p>
            <w:r>
              <w:rPr>
                <w:rFonts w:ascii="Calibri" w:hAnsi="Calibri"/>
                <w:sz w:val="22"/>
              </w:rPr>
              <w:t>High — O's 40bps credit loss guidance is already below KIM's range; KIM's improvement confirms sector-wide credit quality trend</w:t>
            </w:r>
          </w:p>
        </w:tc>
        <w:tc>
          <w:tcPr>
            <w:tcW w:type="dxa" w:w="2160"/>
          </w:tcPr>
          <w:p>
            <w:r>
              <w:rPr>
                <w:rFonts w:ascii="Calibri" w:hAnsi="Calibri"/>
                <w:b/>
                <w:color w:val="30A46C"/>
                <w:sz w:val="22"/>
              </w:rPr>
              <w:t>Positive</w:t>
            </w:r>
          </w:p>
        </w:tc>
      </w:tr>
      <w:tr>
        <w:tc>
          <w:tcPr>
            <w:tcW w:type="dxa" w:w="2160"/>
          </w:tcPr>
          <w:p>
            <w:r>
              <w:rPr>
                <w:rFonts w:ascii="Calibri" w:hAnsi="Calibri"/>
                <w:sz w:val="22"/>
              </w:rPr>
              <w:t>Transaction market / cap rates</w:t>
            </w:r>
          </w:p>
        </w:tc>
        <w:tc>
          <w:tcPr>
            <w:tcW w:type="dxa" w:w="2160"/>
          </w:tcPr>
          <w:p>
            <w:r>
              <w:rPr>
                <w:rFonts w:ascii="Calibri" w:hAnsi="Calibri"/>
                <w:sz w:val="22"/>
              </w:rPr>
              <w:t>"Lots of capital chasing all formats"; cap rates "very competitive"; 4.9% cap rate on multifamily monetization</w:t>
            </w:r>
          </w:p>
        </w:tc>
        <w:tc>
          <w:tcPr>
            <w:tcW w:type="dxa" w:w="2160"/>
          </w:tcPr>
          <w:p>
            <w:r>
              <w:rPr>
                <w:rFonts w:ascii="Calibri" w:hAnsi="Calibri"/>
                <w:sz w:val="22"/>
              </w:rPr>
              <w:t>Moderate — KIM's multi-tenant format differs from O's net-lease; but confirms liquid transaction market and strong asset values for well-located retail</w:t>
            </w:r>
          </w:p>
        </w:tc>
        <w:tc>
          <w:tcPr>
            <w:tcW w:type="dxa" w:w="2160"/>
          </w:tcPr>
          <w:p>
            <w:r>
              <w:rPr>
                <w:rFonts w:ascii="Calibri" w:hAnsi="Calibri"/>
                <w:b/>
                <w:color w:val="30A46C"/>
                <w:sz w:val="22"/>
              </w:rPr>
              <w:t>Positive</w:t>
            </w:r>
          </w:p>
        </w:tc>
      </w:tr>
    </w:tbl>
    <w:p>
      <w:r>
        <w:rPr>
          <w:rFonts w:ascii="Calibri" w:hAnsi="Calibri"/>
          <w:i/>
          <w:color w:val="525866"/>
          <w:sz w:val="22"/>
        </w:rPr>
        <w:t>Source: KIM Q2 2026 Earnings Call Transcript (August 4, 2026).</w:t>
      </w:r>
    </w:p>
    <w:p>
      <w:pPr>
        <w:pStyle w:val="Heading3"/>
      </w:pPr>
      <w:r>
        <w:rPr>
          <w:rFonts w:ascii="Calibri" w:hAnsi="Calibri"/>
          <w:b/>
          <w:color w:val="3B4259"/>
          <w:sz w:val="24"/>
        </w:rPr>
        <w:t>8.6 InvenTrust Properties (IVT) — Q2 2026 Earnings Call (August 4, 2026)</w:t>
      </w:r>
    </w:p>
    <w:p>
      <w:r>
        <w:rPr>
          <w:rFonts w:ascii="Calibri" w:hAnsi="Calibri"/>
          <w:b/>
          <w:color w:val="30A46C"/>
          <w:sz w:val="22"/>
        </w:rPr>
        <w:t xml:space="preserve">Overall Read-Through: </w:t>
      </w:r>
      <w:r>
        <w:rPr>
          <w:rFonts w:ascii="Calibri" w:hAnsi="Calibri"/>
          <w:b/>
          <w:color w:val="30A46C"/>
          <w:sz w:val="22"/>
        </w:rPr>
        <w:t xml:space="preserve"> Positive (Necessity Retail Demand)</w:t>
      </w:r>
    </w:p>
    <w:p>
      <w:r>
        <w:rPr>
          <w:rFonts w:ascii="Calibri" w:hAnsi="Calibri"/>
          <w:b/>
          <w:color w:val="525866"/>
          <w:sz w:val="22"/>
        </w:rPr>
        <w:t xml:space="preserve">Retailer Demand — Concentrated in Necessity-Based Centers; Supply Constrained: </w:t>
      </w:r>
      <w:r>
        <w:rPr>
          <w:rFonts w:ascii="Calibri" w:hAnsi="Calibri"/>
          <w:color w:val="525866"/>
          <w:sz w:val="22"/>
        </w:rPr>
        <w:t>IVT management stated that "retailer demand remains concentrated in well-located, open-air, necessity-based centers, and limited new supply continues to provide a favorable backdrop for long-term rent growth." National tenants have multi-year expansion plans but their "biggest challenge remains finding quality space in the right trade areas." Comparable blended lease spreads were 8.5% (new: 18.7%, renewals: 7.9%; ex-options: 14.4%). Same-property NOI growth accelerated to 4.1% in Q2 2026.</w:t>
      </w:r>
    </w:p>
    <w:p>
      <w:r>
        <w:rPr>
          <w:rFonts w:ascii="Calibri" w:hAnsi="Calibri"/>
          <w:b/>
          <w:color w:val="525866"/>
          <w:sz w:val="22"/>
        </w:rPr>
        <w:t xml:space="preserve">Sunbelt Expansion — Population-Driven Demand: </w:t>
      </w:r>
      <w:r>
        <w:rPr>
          <w:rFonts w:ascii="Calibri" w:hAnsi="Calibri"/>
          <w:color w:val="525866"/>
          <w:sz w:val="22"/>
        </w:rPr>
        <w:t>IVT is actively expanding into emerging Sunbelt markets (Charleston, Greensboro, Knoxville), where national and regional retailers are increasingly seeking expansion opportunities driven by population growth and business formation. This is consistent with O's own geographic diversification strategy.</w:t>
      </w:r>
    </w:p>
    <w:p>
      <w:r>
        <w:rPr>
          <w:rFonts w:ascii="Calibri" w:hAnsi="Calibri"/>
          <w:b/>
          <w:color w:val="525866"/>
          <w:sz w:val="22"/>
        </w:rPr>
        <w:t xml:space="preserve">Investment Activity — Competitive but Active: </w:t>
      </w:r>
      <w:r>
        <w:rPr>
          <w:rFonts w:ascii="Calibri" w:hAnsi="Calibri"/>
          <w:color w:val="525866"/>
          <w:sz w:val="22"/>
        </w:rPr>
        <w:t>IVT acquired $290M YTD at initial yields in the "low 6%" range with unlevered IRRs in the "low to mid 7%" range. The market is described as "competitive, specifically in some of our larger core markets," with pricing getting competitive. Disposition pricing is "very similar" to acquisition yields, making capital recycling essentially neutral on initial yield but accretive on growth profile.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Read-Through Dimension</w:t>
            </w:r>
          </w:p>
        </w:tc>
        <w:tc>
          <w:tcPr>
            <w:tcW w:type="dxa" w:w="2160"/>
            <w:shd w:val="clear" w:color="auto" w:fill="3B4259"/>
          </w:tcPr>
          <w:p>
            <w:r>
              <w:rPr>
                <w:rFonts w:ascii="Calibri" w:hAnsi="Calibri"/>
                <w:b/>
                <w:color w:val="FFFFFF"/>
                <w:sz w:val="22"/>
              </w:rPr>
              <w:t>IVT Signal</w:t>
            </w:r>
          </w:p>
        </w:tc>
        <w:tc>
          <w:tcPr>
            <w:tcW w:type="dxa" w:w="2160"/>
            <w:shd w:val="clear" w:color="auto" w:fill="3B4259"/>
          </w:tcPr>
          <w:p>
            <w:r>
              <w:rPr>
                <w:rFonts w:ascii="Calibri" w:hAnsi="Calibri"/>
                <w:b/>
                <w:color w:val="FFFFFF"/>
                <w:sz w:val="22"/>
              </w:rPr>
              <w:t>Transferability to O</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Necessity retail demand</w:t>
            </w:r>
          </w:p>
        </w:tc>
        <w:tc>
          <w:tcPr>
            <w:tcW w:type="dxa" w:w="2160"/>
          </w:tcPr>
          <w:p>
            <w:r>
              <w:rPr>
                <w:rFonts w:ascii="Calibri" w:hAnsi="Calibri"/>
                <w:sz w:val="22"/>
              </w:rPr>
              <w:t>Demand concentrated in necessity-based centers; supply muted; national tenants seeking quality space</w:t>
            </w:r>
          </w:p>
        </w:tc>
        <w:tc>
          <w:tcPr>
            <w:tcW w:type="dxa" w:w="2160"/>
          </w:tcPr>
          <w:p>
            <w:r>
              <w:rPr>
                <w:rFonts w:ascii="Calibri" w:hAnsi="Calibri"/>
                <w:sz w:val="22"/>
              </w:rPr>
              <w:t>High — O's 78% retail portfolio is predominantly necessity-based (grocery, convenience, QSR, drug); directly benefits from this demand dynamic</w:t>
            </w:r>
          </w:p>
        </w:tc>
        <w:tc>
          <w:tcPr>
            <w:tcW w:type="dxa" w:w="2160"/>
          </w:tcPr>
          <w:p>
            <w:r>
              <w:rPr>
                <w:rFonts w:ascii="Calibri" w:hAnsi="Calibri"/>
                <w:b/>
                <w:color w:val="30A46C"/>
                <w:sz w:val="22"/>
              </w:rPr>
              <w:t>Positive</w:t>
            </w:r>
          </w:p>
        </w:tc>
      </w:tr>
      <w:tr>
        <w:tc>
          <w:tcPr>
            <w:tcW w:type="dxa" w:w="2160"/>
          </w:tcPr>
          <w:p>
            <w:r>
              <w:rPr>
                <w:rFonts w:ascii="Calibri" w:hAnsi="Calibri"/>
                <w:sz w:val="22"/>
              </w:rPr>
              <w:t>Leasing spreads / rent growth</w:t>
            </w:r>
          </w:p>
        </w:tc>
        <w:tc>
          <w:tcPr>
            <w:tcW w:type="dxa" w:w="2160"/>
          </w:tcPr>
          <w:p>
            <w:r>
              <w:rPr>
                <w:rFonts w:ascii="Calibri" w:hAnsi="Calibri"/>
                <w:sz w:val="22"/>
              </w:rPr>
              <w:t>8.5% blended spreads; 18.7% new; 4.1% same-property NOI growth</w:t>
            </w:r>
          </w:p>
        </w:tc>
        <w:tc>
          <w:tcPr>
            <w:tcW w:type="dxa" w:w="2160"/>
          </w:tcPr>
          <w:p>
            <w:r>
              <w:rPr>
                <w:rFonts w:ascii="Calibri" w:hAnsi="Calibri"/>
                <w:sz w:val="22"/>
              </w:rPr>
              <w:t>Moderate — IVT's multi-tenant format generates higher re-leasing spreads than O's net-lease model; but confirms underlying retail pricing power</w:t>
            </w:r>
          </w:p>
        </w:tc>
        <w:tc>
          <w:tcPr>
            <w:tcW w:type="dxa" w:w="2160"/>
          </w:tcPr>
          <w:p>
            <w:r>
              <w:rPr>
                <w:rFonts w:ascii="Calibri" w:hAnsi="Calibri"/>
                <w:b/>
                <w:color w:val="30A46C"/>
                <w:sz w:val="22"/>
              </w:rPr>
              <w:t>Positive</w:t>
            </w:r>
          </w:p>
        </w:tc>
      </w:tr>
      <w:tr>
        <w:tc>
          <w:tcPr>
            <w:tcW w:type="dxa" w:w="2160"/>
          </w:tcPr>
          <w:p>
            <w:r>
              <w:rPr>
                <w:rFonts w:ascii="Calibri" w:hAnsi="Calibri"/>
                <w:sz w:val="22"/>
              </w:rPr>
              <w:t>Transaction market competitiveness</w:t>
            </w:r>
          </w:p>
        </w:tc>
        <w:tc>
          <w:tcPr>
            <w:tcW w:type="dxa" w:w="2160"/>
          </w:tcPr>
          <w:p>
            <w:r>
              <w:rPr>
                <w:rFonts w:ascii="Calibri" w:hAnsi="Calibri"/>
                <w:sz w:val="22"/>
              </w:rPr>
              <w:t>"Competitive" in core markets; pricing getting competitive; initial yields in low 6% range</w:t>
            </w:r>
          </w:p>
        </w:tc>
        <w:tc>
          <w:tcPr>
            <w:tcW w:type="dxa" w:w="2160"/>
          </w:tcPr>
          <w:p>
            <w:r>
              <w:rPr>
                <w:rFonts w:ascii="Calibri" w:hAnsi="Calibri"/>
                <w:sz w:val="22"/>
              </w:rPr>
              <w:t>Moderate — IVT's open-air format competes in a different segment than O's net-lease; O's relationship-driven sourcing (94% of Q1 deals) provides insulation from competitive bidding</w:t>
            </w:r>
          </w:p>
        </w:tc>
        <w:tc>
          <w:tcPr>
            <w:tcW w:type="dxa" w:w="2160"/>
          </w:tcPr>
          <w:p>
            <w:r>
              <w:rPr>
                <w:rFonts w:ascii="Calibri" w:hAnsi="Calibri"/>
                <w:b/>
                <w:color w:val="002FA7"/>
                <w:sz w:val="22"/>
              </w:rPr>
              <w:t>Neutral</w:t>
            </w:r>
          </w:p>
        </w:tc>
      </w:tr>
    </w:tbl>
    <w:p>
      <w:r>
        <w:rPr>
          <w:rFonts w:ascii="Calibri" w:hAnsi="Calibri"/>
          <w:i/>
          <w:color w:val="525866"/>
          <w:sz w:val="22"/>
        </w:rPr>
        <w:t>Source: IVT Q2 2026 Earnings Call Transcript (August 4, 2026).</w:t>
      </w:r>
    </w:p>
    <w:p>
      <w:pPr>
        <w:pStyle w:val="Heading3"/>
      </w:pPr>
      <w:r>
        <w:rPr>
          <w:rFonts w:ascii="Calibri" w:hAnsi="Calibri"/>
          <w:b/>
          <w:color w:val="3B4259"/>
          <w:sz w:val="24"/>
        </w:rPr>
        <w:t>8.7 Macerich (MAC) — Q2 2026 Earnings Call (August 4, 2026)</w:t>
      </w:r>
    </w:p>
    <w:p>
      <w:r>
        <w:rPr>
          <w:rFonts w:ascii="Calibri" w:hAnsi="Calibri"/>
          <w:b/>
          <w:color w:val="30A46C"/>
          <w:sz w:val="22"/>
        </w:rPr>
        <w:t xml:space="preserve">Overall Read-Through: </w:t>
      </w:r>
      <w:r>
        <w:rPr>
          <w:rFonts w:ascii="Calibri" w:hAnsi="Calibri"/>
          <w:b/>
          <w:color w:val="30A46C"/>
          <w:sz w:val="22"/>
        </w:rPr>
        <w:t xml:space="preserve"> Positive (Consumer Demand Signal; Limited Direct Transferability)</w:t>
      </w:r>
    </w:p>
    <w:p>
      <w:r>
        <w:rPr>
          <w:rFonts w:ascii="Calibri" w:hAnsi="Calibri"/>
          <w:b/>
          <w:color w:val="525866"/>
          <w:sz w:val="22"/>
        </w:rPr>
        <w:t xml:space="preserve">Retailer Demand — "As Deep as We've Seen It": </w:t>
      </w:r>
      <w:r>
        <w:rPr>
          <w:rFonts w:ascii="Calibri" w:hAnsi="Calibri"/>
          <w:color w:val="525866"/>
          <w:sz w:val="22"/>
        </w:rPr>
        <w:t>Macerich stated that "retailer demand is as deep as we've seen it," with brands "pursuing quality over quantity and competing for limited space." Portfolio sales reached a new company high of $919/sq ft ($954 in the go-forward portfolio). Leased occupancy in the go-forward portfolio was 95.5%, up 270bps YoY. Go-forward portfolio NOI grew 3.8% in Q2 2026 vs. Q2 2025, with full-year guidance of at least 3% NOI growth.</w:t>
      </w:r>
    </w:p>
    <w:p>
      <w:r>
        <w:rPr>
          <w:rFonts w:ascii="Calibri" w:hAnsi="Calibri"/>
          <w:b/>
          <w:color w:val="525866"/>
          <w:sz w:val="22"/>
        </w:rPr>
        <w:t xml:space="preserve">Gen Z Consumer — Structural Tailwind for Physical Retail: </w:t>
      </w:r>
      <w:r>
        <w:rPr>
          <w:rFonts w:ascii="Calibri" w:hAnsi="Calibri"/>
          <w:color w:val="525866"/>
          <w:sz w:val="22"/>
        </w:rPr>
        <w:t>MAC highlighted that the "Gen Z consumer overindexes on visiting physical stores and spending on goods, food and experiences and is on track to become the largest spending demographic in the country." Traffic at Tysons was up 10% YTD through H1 2026. This is a structural positive for all physical retail landlords, including O's net-lease retail tenants.</w:t>
      </w:r>
    </w:p>
    <w:p>
      <w:r>
        <w:rPr>
          <w:rFonts w:ascii="Calibri" w:hAnsi="Calibri"/>
          <w:b/>
          <w:color w:val="525866"/>
          <w:sz w:val="22"/>
        </w:rPr>
        <w:t xml:space="preserve">Capital Markets — Rate Sensitivity Acknowledged but Manageable: </w:t>
      </w:r>
      <w:r>
        <w:rPr>
          <w:rFonts w:ascii="Calibri" w:hAnsi="Calibri"/>
          <w:color w:val="525866"/>
          <w:sz w:val="22"/>
        </w:rPr>
        <w:t>MAC noted that the recent increase in the 10-year yield and "higher for longer" concerns are "not having any immediate effect" on capital allocation, as they assumed a 6% all-in financing cost for refinancings and spreads remain "at all-time lows." This is consistent with O's own commentary on the rate environment.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Read-Through Dimension</w:t>
            </w:r>
          </w:p>
        </w:tc>
        <w:tc>
          <w:tcPr>
            <w:tcW w:type="dxa" w:w="2160"/>
            <w:shd w:val="clear" w:color="auto" w:fill="3B4259"/>
          </w:tcPr>
          <w:p>
            <w:r>
              <w:rPr>
                <w:rFonts w:ascii="Calibri" w:hAnsi="Calibri"/>
                <w:b/>
                <w:color w:val="FFFFFF"/>
                <w:sz w:val="22"/>
              </w:rPr>
              <w:t>MAC Signal</w:t>
            </w:r>
          </w:p>
        </w:tc>
        <w:tc>
          <w:tcPr>
            <w:tcW w:type="dxa" w:w="2160"/>
            <w:shd w:val="clear" w:color="auto" w:fill="3B4259"/>
          </w:tcPr>
          <w:p>
            <w:r>
              <w:rPr>
                <w:rFonts w:ascii="Calibri" w:hAnsi="Calibri"/>
                <w:b/>
                <w:color w:val="FFFFFF"/>
                <w:sz w:val="22"/>
              </w:rPr>
              <w:t>Transferability to O</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Retailer demand / consumer</w:t>
            </w:r>
          </w:p>
        </w:tc>
        <w:tc>
          <w:tcPr>
            <w:tcW w:type="dxa" w:w="2160"/>
          </w:tcPr>
          <w:p>
            <w:r>
              <w:rPr>
                <w:rFonts w:ascii="Calibri" w:hAnsi="Calibri"/>
                <w:sz w:val="22"/>
              </w:rPr>
              <w:t>"Deepest demand ever"; Gen Z overindexes on physical stores; record portfolio sales/sq ft</w:t>
            </w:r>
          </w:p>
        </w:tc>
        <w:tc>
          <w:tcPr>
            <w:tcW w:type="dxa" w:w="2160"/>
          </w:tcPr>
          <w:p>
            <w:r>
              <w:rPr>
                <w:rFonts w:ascii="Calibri" w:hAnsi="Calibri"/>
                <w:sz w:val="22"/>
              </w:rPr>
              <w:t>Moderate — MAC's enclosed mall format differs significantly from O's freestanding net-lease; but the Gen Z physical retail tailwind and strong retailer demand are broadly positive for all retail landlords</w:t>
            </w:r>
          </w:p>
        </w:tc>
        <w:tc>
          <w:tcPr>
            <w:tcW w:type="dxa" w:w="2160"/>
          </w:tcPr>
          <w:p>
            <w:r>
              <w:rPr>
                <w:rFonts w:ascii="Calibri" w:hAnsi="Calibri"/>
                <w:b/>
                <w:color w:val="30A46C"/>
                <w:sz w:val="22"/>
              </w:rPr>
              <w:t>Positive</w:t>
            </w:r>
          </w:p>
        </w:tc>
      </w:tr>
      <w:tr>
        <w:tc>
          <w:tcPr>
            <w:tcW w:type="dxa" w:w="2160"/>
          </w:tcPr>
          <w:p>
            <w:r>
              <w:rPr>
                <w:rFonts w:ascii="Calibri" w:hAnsi="Calibri"/>
                <w:sz w:val="22"/>
              </w:rPr>
              <w:t>Rate environment / capital markets</w:t>
            </w:r>
          </w:p>
        </w:tc>
        <w:tc>
          <w:tcPr>
            <w:tcW w:type="dxa" w:w="2160"/>
          </w:tcPr>
          <w:p>
            <w:r>
              <w:rPr>
                <w:rFonts w:ascii="Calibri" w:hAnsi="Calibri"/>
                <w:sz w:val="22"/>
              </w:rPr>
              <w:t>Higher 10-year "not having immediate effect"; spreads at all-time lows; 6% all-in financing assumed</w:t>
            </w:r>
          </w:p>
        </w:tc>
        <w:tc>
          <w:tcPr>
            <w:tcW w:type="dxa" w:w="2160"/>
          </w:tcPr>
          <w:p>
            <w:r>
              <w:rPr>
                <w:rFonts w:ascii="Calibri" w:hAnsi="Calibri"/>
                <w:sz w:val="22"/>
              </w:rPr>
              <w:t>Moderate — O's European debt access and A-/A3 rating provide better insulation from rate moves than MAC; but confirms manageable rate environment for well-rated REITs</w:t>
            </w:r>
          </w:p>
        </w:tc>
        <w:tc>
          <w:tcPr>
            <w:tcW w:type="dxa" w:w="2160"/>
          </w:tcPr>
          <w:p>
            <w:r>
              <w:rPr>
                <w:rFonts w:ascii="Calibri" w:hAnsi="Calibri"/>
                <w:b/>
                <w:color w:val="30A46C"/>
                <w:sz w:val="22"/>
              </w:rPr>
              <w:t>Positive</w:t>
            </w:r>
          </w:p>
        </w:tc>
      </w:tr>
      <w:tr>
        <w:tc>
          <w:tcPr>
            <w:tcW w:type="dxa" w:w="2160"/>
          </w:tcPr>
          <w:p>
            <w:r>
              <w:rPr>
                <w:rFonts w:ascii="Calibri" w:hAnsi="Calibri"/>
                <w:sz w:val="22"/>
              </w:rPr>
              <w:t>Operational model (mall-specific)</w:t>
            </w:r>
          </w:p>
        </w:tc>
        <w:tc>
          <w:tcPr>
            <w:tcW w:type="dxa" w:w="2160"/>
          </w:tcPr>
          <w:p>
            <w:r>
              <w:rPr>
                <w:rFonts w:ascii="Calibri" w:hAnsi="Calibri"/>
                <w:sz w:val="22"/>
              </w:rPr>
              <w:t>Anchor-driven traffic effects; curated tenant mix; redevelopment pipeline</w:t>
            </w:r>
          </w:p>
        </w:tc>
        <w:tc>
          <w:tcPr>
            <w:tcW w:type="dxa" w:w="2160"/>
          </w:tcPr>
          <w:p>
            <w:r>
              <w:rPr>
                <w:rFonts w:ascii="Calibri" w:hAnsi="Calibri"/>
                <w:sz w:val="22"/>
              </w:rPr>
              <w:t>Low — MAC's multi-tenant mall dynamics (anchor effects, redevelopment, traffic) are not directly applicable to O's single-tenant net-lease model</w:t>
            </w:r>
          </w:p>
        </w:tc>
        <w:tc>
          <w:tcPr>
            <w:tcW w:type="dxa" w:w="2160"/>
          </w:tcPr>
          <w:p>
            <w:r>
              <w:rPr>
                <w:rFonts w:ascii="Calibri" w:hAnsi="Calibri"/>
                <w:b/>
                <w:color w:val="002FA7"/>
                <w:sz w:val="22"/>
              </w:rPr>
              <w:t>Not Applicable</w:t>
            </w:r>
          </w:p>
        </w:tc>
      </w:tr>
    </w:tbl>
    <w:p>
      <w:r>
        <w:rPr>
          <w:rFonts w:ascii="Calibri" w:hAnsi="Calibri"/>
          <w:i/>
          <w:color w:val="525866"/>
          <w:sz w:val="22"/>
        </w:rPr>
        <w:t>Source: MAC Q2 2026 Earnings Call Transcript (August 4, 2026).</w:t>
      </w:r>
    </w:p>
    <w:p>
      <w:pPr>
        <w:pStyle w:val="Heading3"/>
      </w:pPr>
      <w:r>
        <w:rPr>
          <w:rFonts w:ascii="Calibri" w:hAnsi="Calibri"/>
          <w:b/>
          <w:color w:val="3B4259"/>
          <w:sz w:val="24"/>
        </w:rPr>
        <w:t>8.8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Most Actionable Signal for O</w:t>
            </w:r>
          </w:p>
        </w:tc>
        <w:tc>
          <w:tcPr>
            <w:tcW w:type="dxa" w:w="1728"/>
            <w:shd w:val="clear" w:color="auto" w:fill="3B4259"/>
          </w:tcPr>
          <w:p>
            <w:r>
              <w:rPr>
                <w:rFonts w:ascii="Calibri" w:hAnsi="Calibri"/>
                <w:b/>
                <w:color w:val="FFFFFF"/>
                <w:sz w:val="22"/>
              </w:rPr>
              <w:t>Transferability</w:t>
            </w:r>
          </w:p>
        </w:tc>
        <w:tc>
          <w:tcPr>
            <w:tcW w:type="dxa" w:w="1728"/>
            <w:shd w:val="clear" w:color="auto" w:fill="3B4259"/>
          </w:tcPr>
          <w:p>
            <w:r>
              <w:rPr>
                <w:rFonts w:ascii="Calibri" w:hAnsi="Calibri"/>
                <w:b/>
                <w:color w:val="FFFFFF"/>
                <w:sz w:val="22"/>
              </w:rPr>
              <w:t>Net Direction</w:t>
            </w:r>
          </w:p>
        </w:tc>
      </w:tr>
      <w:tr>
        <w:tc>
          <w:tcPr>
            <w:tcW w:type="dxa" w:w="1728"/>
          </w:tcPr>
          <w:p>
            <w:r>
              <w:rPr>
                <w:rFonts w:ascii="Calibri" w:hAnsi="Calibri"/>
                <w:sz w:val="22"/>
              </w:rPr>
              <w:t>ADC</w:t>
            </w:r>
          </w:p>
        </w:tc>
        <w:tc>
          <w:tcPr>
            <w:tcW w:type="dxa" w:w="1728"/>
          </w:tcPr>
          <w:p>
            <w:r>
              <w:rPr>
                <w:rFonts w:ascii="Calibri" w:hAnsi="Calibri"/>
                <w:sz w:val="22"/>
              </w:rPr>
              <w:t>July 31, 2026</w:t>
            </w:r>
          </w:p>
        </w:tc>
        <w:tc>
          <w:tcPr>
            <w:tcW w:type="dxa" w:w="1728"/>
          </w:tcPr>
          <w:p>
            <w:r>
              <w:rPr>
                <w:rFonts w:ascii="Calibri" w:hAnsi="Calibri"/>
                <w:sz w:val="22"/>
              </w:rPr>
              <w:t>Record $500M+ Q2 deployment at stable 7% cap rates; 6bps credit loss; 99.8% occupancy; 105% recapture</w:t>
            </w:r>
          </w:p>
        </w:tc>
        <w:tc>
          <w:tcPr>
            <w:tcW w:type="dxa" w:w="1728"/>
          </w:tcPr>
          <w:p>
            <w:r>
              <w:rPr>
                <w:rFonts w:ascii="Calibri" w:hAnsi="Calibri"/>
                <w:sz w:val="22"/>
              </w:rPr>
              <w:t>Very High</w:t>
            </w:r>
          </w:p>
        </w:tc>
        <w:tc>
          <w:tcPr>
            <w:tcW w:type="dxa" w:w="1728"/>
          </w:tcPr>
          <w:p>
            <w:r>
              <w:rPr>
                <w:rFonts w:ascii="Calibri" w:hAnsi="Calibri"/>
                <w:b/>
                <w:color w:val="30A46C"/>
                <w:sz w:val="22"/>
              </w:rPr>
              <w:t>Strongly Positive</w:t>
            </w:r>
          </w:p>
        </w:tc>
      </w:tr>
      <w:tr>
        <w:tc>
          <w:tcPr>
            <w:tcW w:type="dxa" w:w="1728"/>
          </w:tcPr>
          <w:p>
            <w:r>
              <w:rPr>
                <w:rFonts w:ascii="Calibri" w:hAnsi="Calibri"/>
                <w:sz w:val="22"/>
              </w:rPr>
              <w:t>NTST</w:t>
            </w:r>
          </w:p>
        </w:tc>
        <w:tc>
          <w:tcPr>
            <w:tcW w:type="dxa" w:w="1728"/>
          </w:tcPr>
          <w:p>
            <w:r>
              <w:rPr>
                <w:rFonts w:ascii="Calibri" w:hAnsi="Calibri"/>
                <w:sz w:val="22"/>
              </w:rPr>
              <w:t>July 23, 2026</w:t>
            </w:r>
          </w:p>
        </w:tc>
        <w:tc>
          <w:tcPr>
            <w:tcW w:type="dxa" w:w="1728"/>
          </w:tcPr>
          <w:p>
            <w:r>
              <w:rPr>
                <w:rFonts w:ascii="Calibri" w:hAnsi="Calibri"/>
                <w:sz w:val="22"/>
              </w:rPr>
              <w:t>"Healthiest market ever"; maturing 2021–22 debt driving portfolio supply; virtually no competition from large private institutions</w:t>
            </w:r>
          </w:p>
        </w:tc>
        <w:tc>
          <w:tcPr>
            <w:tcW w:type="dxa" w:w="1728"/>
          </w:tcPr>
          <w:p>
            <w:r>
              <w:rPr>
                <w:rFonts w:ascii="Calibri" w:hAnsi="Calibri"/>
                <w:sz w:val="22"/>
              </w:rPr>
              <w:t>Very High</w:t>
            </w:r>
          </w:p>
        </w:tc>
        <w:tc>
          <w:tcPr>
            <w:tcW w:type="dxa" w:w="1728"/>
          </w:tcPr>
          <w:p>
            <w:r>
              <w:rPr>
                <w:rFonts w:ascii="Calibri" w:hAnsi="Calibri"/>
                <w:b/>
                <w:color w:val="30A46C"/>
                <w:sz w:val="22"/>
              </w:rPr>
              <w:t>Strongly Positive</w:t>
            </w:r>
          </w:p>
        </w:tc>
      </w:tr>
      <w:tr>
        <w:tc>
          <w:tcPr>
            <w:tcW w:type="dxa" w:w="1728"/>
          </w:tcPr>
          <w:p>
            <w:r>
              <w:rPr>
                <w:rFonts w:ascii="Calibri" w:hAnsi="Calibri"/>
                <w:sz w:val="22"/>
              </w:rPr>
              <w:t>GTY</w:t>
            </w:r>
          </w:p>
        </w:tc>
        <w:tc>
          <w:tcPr>
            <w:tcW w:type="dxa" w:w="1728"/>
          </w:tcPr>
          <w:p>
            <w:r>
              <w:rPr>
                <w:rFonts w:ascii="Calibri" w:hAnsi="Calibri"/>
                <w:sz w:val="22"/>
              </w:rPr>
              <w:t>July 23, 2026</w:t>
            </w:r>
          </w:p>
        </w:tc>
        <w:tc>
          <w:tcPr>
            <w:tcW w:type="dxa" w:w="1728"/>
          </w:tcPr>
          <w:p>
            <w:r>
              <w:rPr>
                <w:rFonts w:ascii="Calibri" w:hAnsi="Calibri"/>
                <w:sz w:val="22"/>
              </w:rPr>
              <w:t>Improving cost of capital opening wider deal access; no realized credit losses; 5.1% AFFO growth; second guidance raise</w:t>
            </w:r>
          </w:p>
        </w:tc>
        <w:tc>
          <w:tcPr>
            <w:tcW w:type="dxa" w:w="1728"/>
          </w:tcPr>
          <w:p>
            <w:r>
              <w:rPr>
                <w:rFonts w:ascii="Calibri" w:hAnsi="Calibri"/>
                <w:sz w:val="22"/>
              </w:rPr>
              <w:t>High</w:t>
            </w:r>
          </w:p>
        </w:tc>
        <w:tc>
          <w:tcPr>
            <w:tcW w:type="dxa" w:w="1728"/>
          </w:tcPr>
          <w:p>
            <w:r>
              <w:rPr>
                <w:rFonts w:ascii="Calibri" w:hAnsi="Calibri"/>
                <w:b/>
                <w:color w:val="30A46C"/>
                <w:sz w:val="22"/>
              </w:rPr>
              <w:t>Positive</w:t>
            </w:r>
          </w:p>
        </w:tc>
      </w:tr>
      <w:tr>
        <w:tc>
          <w:tcPr>
            <w:tcW w:type="dxa" w:w="1728"/>
          </w:tcPr>
          <w:p>
            <w:r>
              <w:rPr>
                <w:rFonts w:ascii="Calibri" w:hAnsi="Calibri"/>
                <w:sz w:val="22"/>
              </w:rPr>
              <w:t>FCPT</w:t>
            </w:r>
          </w:p>
        </w:tc>
        <w:tc>
          <w:tcPr>
            <w:tcW w:type="dxa" w:w="1728"/>
          </w:tcPr>
          <w:p>
            <w:r>
              <w:rPr>
                <w:rFonts w:ascii="Calibri" w:hAnsi="Calibri"/>
                <w:sz w:val="22"/>
              </w:rPr>
              <w:t>July 30, 2026</w:t>
            </w:r>
          </w:p>
        </w:tc>
        <w:tc>
          <w:tcPr>
            <w:tcW w:type="dxa" w:w="1728"/>
          </w:tcPr>
          <w:p>
            <w:r>
              <w:rPr>
                <w:rFonts w:ascii="Calibri" w:hAnsi="Calibri"/>
                <w:sz w:val="22"/>
              </w:rPr>
              <w:t>$600M debt at 4.5–4.9% all-in; 200bps spread to investment yields; record YTD investment volume; equity cost of capital in "yellow zone"</w:t>
            </w:r>
          </w:p>
        </w:tc>
        <w:tc>
          <w:tcPr>
            <w:tcW w:type="dxa" w:w="1728"/>
          </w:tcPr>
          <w:p>
            <w:r>
              <w:rPr>
                <w:rFonts w:ascii="Calibri" w:hAnsi="Calibri"/>
                <w:sz w:val="22"/>
              </w:rPr>
              <w:t>High (debt); Moderate (equity)</w:t>
            </w:r>
          </w:p>
        </w:tc>
        <w:tc>
          <w:tcPr>
            <w:tcW w:type="dxa" w:w="1728"/>
          </w:tcPr>
          <w:p>
            <w:r>
              <w:rPr>
                <w:rFonts w:ascii="Calibri" w:hAnsi="Calibri"/>
                <w:b/>
                <w:color w:val="30A46C"/>
                <w:sz w:val="22"/>
              </w:rPr>
              <w:t>Positive / Slight Caution on Equity</w:t>
            </w:r>
          </w:p>
        </w:tc>
      </w:tr>
      <w:tr>
        <w:tc>
          <w:tcPr>
            <w:tcW w:type="dxa" w:w="1728"/>
          </w:tcPr>
          <w:p>
            <w:r>
              <w:rPr>
                <w:rFonts w:ascii="Calibri" w:hAnsi="Calibri"/>
                <w:sz w:val="22"/>
              </w:rPr>
              <w:t>KIM</w:t>
            </w:r>
          </w:p>
        </w:tc>
        <w:tc>
          <w:tcPr>
            <w:tcW w:type="dxa" w:w="1728"/>
          </w:tcPr>
          <w:p>
            <w:r>
              <w:rPr>
                <w:rFonts w:ascii="Calibri" w:hAnsi="Calibri"/>
                <w:sz w:val="22"/>
              </w:rPr>
              <w:t>August 4, 2026</w:t>
            </w:r>
          </w:p>
        </w:tc>
        <w:tc>
          <w:tcPr>
            <w:tcW w:type="dxa" w:w="1728"/>
          </w:tcPr>
          <w:p>
            <w:r>
              <w:rPr>
                <w:rFonts w:ascii="Calibri" w:hAnsi="Calibri"/>
                <w:sz w:val="22"/>
              </w:rPr>
              <w:t>19th consecutive quarter of double-digit new leasing spreads; "incredibly resilient" consumer; credit loss improved to 57bps; 12% dividend raise</w:t>
            </w:r>
          </w:p>
        </w:tc>
        <w:tc>
          <w:tcPr>
            <w:tcW w:type="dxa" w:w="1728"/>
          </w:tcPr>
          <w:p>
            <w:r>
              <w:rPr>
                <w:rFonts w:ascii="Calibri" w:hAnsi="Calibri"/>
                <w:sz w:val="22"/>
              </w:rPr>
              <w:t>High</w:t>
            </w:r>
          </w:p>
        </w:tc>
        <w:tc>
          <w:tcPr>
            <w:tcW w:type="dxa" w:w="1728"/>
          </w:tcPr>
          <w:p>
            <w:r>
              <w:rPr>
                <w:rFonts w:ascii="Calibri" w:hAnsi="Calibri"/>
                <w:b/>
                <w:color w:val="30A46C"/>
                <w:sz w:val="22"/>
              </w:rPr>
              <w:t>Positive</w:t>
            </w:r>
          </w:p>
        </w:tc>
      </w:tr>
      <w:tr>
        <w:tc>
          <w:tcPr>
            <w:tcW w:type="dxa" w:w="1728"/>
          </w:tcPr>
          <w:p>
            <w:r>
              <w:rPr>
                <w:rFonts w:ascii="Calibri" w:hAnsi="Calibri"/>
                <w:sz w:val="22"/>
              </w:rPr>
              <w:t>IVT</w:t>
            </w:r>
          </w:p>
        </w:tc>
        <w:tc>
          <w:tcPr>
            <w:tcW w:type="dxa" w:w="1728"/>
          </w:tcPr>
          <w:p>
            <w:r>
              <w:rPr>
                <w:rFonts w:ascii="Calibri" w:hAnsi="Calibri"/>
                <w:sz w:val="22"/>
              </w:rPr>
              <w:t>August 4, 2026</w:t>
            </w:r>
          </w:p>
        </w:tc>
        <w:tc>
          <w:tcPr>
            <w:tcW w:type="dxa" w:w="1728"/>
          </w:tcPr>
          <w:p>
            <w:r>
              <w:rPr>
                <w:rFonts w:ascii="Calibri" w:hAnsi="Calibri"/>
                <w:sz w:val="22"/>
              </w:rPr>
              <w:t>Necessity retail demand concentrated in quality locations; supply muted; 4.1% same-property NOI growth; Sunbelt expansion</w:t>
            </w:r>
          </w:p>
        </w:tc>
        <w:tc>
          <w:tcPr>
            <w:tcW w:type="dxa" w:w="1728"/>
          </w:tcPr>
          <w:p>
            <w:r>
              <w:rPr>
                <w:rFonts w:ascii="Calibri" w:hAnsi="Calibri"/>
                <w:sz w:val="22"/>
              </w:rPr>
              <w:t>High (demand); Moderate (spreads)</w:t>
            </w:r>
          </w:p>
        </w:tc>
        <w:tc>
          <w:tcPr>
            <w:tcW w:type="dxa" w:w="1728"/>
          </w:tcPr>
          <w:p>
            <w:r>
              <w:rPr>
                <w:rFonts w:ascii="Calibri" w:hAnsi="Calibri"/>
                <w:b/>
                <w:color w:val="30A46C"/>
                <w:sz w:val="22"/>
              </w:rPr>
              <w:t>Positive</w:t>
            </w:r>
          </w:p>
        </w:tc>
      </w:tr>
      <w:tr>
        <w:tc>
          <w:tcPr>
            <w:tcW w:type="dxa" w:w="1728"/>
          </w:tcPr>
          <w:p>
            <w:r>
              <w:rPr>
                <w:rFonts w:ascii="Calibri" w:hAnsi="Calibri"/>
                <w:sz w:val="22"/>
              </w:rPr>
              <w:t>MAC</w:t>
            </w:r>
          </w:p>
        </w:tc>
        <w:tc>
          <w:tcPr>
            <w:tcW w:type="dxa" w:w="1728"/>
          </w:tcPr>
          <w:p>
            <w:r>
              <w:rPr>
                <w:rFonts w:ascii="Calibri" w:hAnsi="Calibri"/>
                <w:sz w:val="22"/>
              </w:rPr>
              <w:t>August 4, 2026</w:t>
            </w:r>
          </w:p>
        </w:tc>
        <w:tc>
          <w:tcPr>
            <w:tcW w:type="dxa" w:w="1728"/>
          </w:tcPr>
          <w:p>
            <w:r>
              <w:rPr>
                <w:rFonts w:ascii="Calibri" w:hAnsi="Calibri"/>
                <w:sz w:val="22"/>
              </w:rPr>
              <w:t>"Deepest retailer demand ever"; Gen Z physical retail tailwind; rate environment manageable</w:t>
            </w:r>
          </w:p>
        </w:tc>
        <w:tc>
          <w:tcPr>
            <w:tcW w:type="dxa" w:w="1728"/>
          </w:tcPr>
          <w:p>
            <w:r>
              <w:rPr>
                <w:rFonts w:ascii="Calibri" w:hAnsi="Calibri"/>
                <w:sz w:val="22"/>
              </w:rPr>
              <w:t>Moderate (consumer signal); Low (operational)</w:t>
            </w:r>
          </w:p>
        </w:tc>
        <w:tc>
          <w:tcPr>
            <w:tcW w:type="dxa" w:w="1728"/>
          </w:tcPr>
          <w:p>
            <w:r>
              <w:rPr>
                <w:rFonts w:ascii="Calibri" w:hAnsi="Calibri"/>
                <w:b/>
                <w:color w:val="30A46C"/>
                <w:sz w:val="22"/>
              </w:rPr>
              <w:t>Positive (Consumer Signal)</w:t>
            </w:r>
          </w:p>
        </w:tc>
      </w:tr>
    </w:tbl>
    <w:p>
      <w:r>
        <w:rPr>
          <w:rFonts w:ascii="Calibri" w:hAnsi="Calibri"/>
          <w:b/>
          <w:color w:val="525866"/>
          <w:sz w:val="22"/>
        </w:rPr>
        <w:t xml:space="preserve">Peer Read-Through Synthesis: </w:t>
      </w:r>
      <w:r>
        <w:rPr>
          <w:rFonts w:ascii="Calibri" w:hAnsi="Calibri"/>
          <w:color w:val="525866"/>
          <w:sz w:val="22"/>
        </w:rPr>
        <w:t>All seven peers reporting Q2 2026 results before O's August 5 call paint a uniformly positive picture across the five key dimensions that matter for O's print: (1) investment deal supply is at multi-year highs driven by maturing 2021–22 debt (NTST); (2) cap rates are stable at 7.0–7.5% with spreads intact or slightly wider (ADC, GTY); (3) tenant credit quality is at or near multi-year bests with credit losses at 6–57bps across peers (ADC, GTY, KIM, FCPT); (4) retailer demand for quality necessity-based locations is described as the strongest in years (KIM, IVT, MAC); and (5) debt capital markets remain open and constructive with spreads at or near all-time lows (FCPT, GTY). The one mild caution is the equity cost of capital (FCPT's "yellow zone" comment) and the K-shaped consumer dynamic for lower-income-serving tenants (NTST). Neither is likely to be a material headwind for O given its investment-grade tenant base and European debt access advantage.</w:t>
      </w:r>
    </w:p>
    <w:p>
      <w:r>
        <w:br w:type="page"/>
      </w:r>
    </w:p>
    <w:p>
      <w:pPr>
        <w:pStyle w:val="Heading2"/>
      </w:pPr>
      <w:r>
        <w:rPr>
          <w:rFonts w:ascii="Calibri" w:hAnsi="Calibri"/>
          <w:b/>
          <w:color w:val="3B4259"/>
          <w:sz w:val="28"/>
        </w:rPr>
        <w:t>Appendix: Key Metrics Reference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Value</w:t>
            </w:r>
          </w:p>
        </w:tc>
        <w:tc>
          <w:tcPr>
            <w:tcW w:type="dxa" w:w="2880"/>
            <w:shd w:val="clear" w:color="auto" w:fill="3B4259"/>
          </w:tcPr>
          <w:p>
            <w:r>
              <w:rPr>
                <w:rFonts w:ascii="Calibri" w:hAnsi="Calibri"/>
                <w:b/>
                <w:color w:val="FFFFFF"/>
                <w:sz w:val="22"/>
              </w:rPr>
              <w:t>Source / Note</w:t>
            </w:r>
          </w:p>
        </w:tc>
      </w:tr>
      <w:tr>
        <w:tc>
          <w:tcPr>
            <w:tcW w:type="dxa" w:w="2880"/>
          </w:tcPr>
          <w:p>
            <w:r>
              <w:rPr>
                <w:rFonts w:ascii="Calibri" w:hAnsi="Calibri"/>
                <w:sz w:val="22"/>
              </w:rPr>
              <w:t>NTM EV/EBITDA</w:t>
            </w:r>
          </w:p>
        </w:tc>
        <w:tc>
          <w:tcPr>
            <w:tcW w:type="dxa" w:w="2880"/>
          </w:tcPr>
          <w:p>
            <w:r>
              <w:rPr>
                <w:rFonts w:ascii="Calibri" w:hAnsi="Calibri"/>
                <w:sz w:val="22"/>
              </w:rPr>
              <w:t>15.47x</w:t>
            </w:r>
          </w:p>
        </w:tc>
        <w:tc>
          <w:tcPr>
            <w:tcW w:type="dxa" w:w="2880"/>
          </w:tcPr>
          <w:p>
            <w:r>
              <w:rPr>
                <w:rFonts w:ascii="Calibri" w:hAnsi="Calibri"/>
                <w:sz w:val="22"/>
              </w:rPr>
              <w:t>Implied Stock Performance Decomposition (Aug 4, 2026)</w:t>
            </w:r>
          </w:p>
        </w:tc>
      </w:tr>
      <w:tr>
        <w:tc>
          <w:tcPr>
            <w:tcW w:type="dxa" w:w="2880"/>
          </w:tcPr>
          <w:p>
            <w:r>
              <w:rPr>
                <w:rFonts w:ascii="Calibri" w:hAnsi="Calibri"/>
                <w:sz w:val="22"/>
              </w:rPr>
              <w:t>NTM P/E</w:t>
            </w:r>
          </w:p>
        </w:tc>
        <w:tc>
          <w:tcPr>
            <w:tcW w:type="dxa" w:w="2880"/>
          </w:tcPr>
          <w:p>
            <w:r>
              <w:rPr>
                <w:rFonts w:ascii="Calibri" w:hAnsi="Calibri"/>
                <w:sz w:val="22"/>
              </w:rPr>
              <w:t>37.20x</w:t>
            </w:r>
          </w:p>
        </w:tc>
        <w:tc>
          <w:tcPr>
            <w:tcW w:type="dxa" w:w="2880"/>
          </w:tcPr>
          <w:p>
            <w:r>
              <w:rPr>
                <w:rFonts w:ascii="Calibri" w:hAnsi="Calibri"/>
                <w:sz w:val="22"/>
              </w:rPr>
              <w:t>Implied Stock Performance Decomposition (Aug 4, 2026)</w:t>
            </w:r>
          </w:p>
        </w:tc>
      </w:tr>
      <w:tr>
        <w:tc>
          <w:tcPr>
            <w:tcW w:type="dxa" w:w="2880"/>
          </w:tcPr>
          <w:p>
            <w:r>
              <w:rPr>
                <w:rFonts w:ascii="Calibri" w:hAnsi="Calibri"/>
                <w:sz w:val="22"/>
              </w:rPr>
              <w:t>NTM EV/Sales</w:t>
            </w:r>
          </w:p>
        </w:tc>
        <w:tc>
          <w:tcPr>
            <w:tcW w:type="dxa" w:w="2880"/>
          </w:tcPr>
          <w:p>
            <w:r>
              <w:rPr>
                <w:rFonts w:ascii="Calibri" w:hAnsi="Calibri"/>
                <w:sz w:val="22"/>
              </w:rPr>
              <w:t>15.31x</w:t>
            </w:r>
          </w:p>
        </w:tc>
        <w:tc>
          <w:tcPr>
            <w:tcW w:type="dxa" w:w="2880"/>
          </w:tcPr>
          <w:p>
            <w:r>
              <w:rPr>
                <w:rFonts w:ascii="Calibri" w:hAnsi="Calibri"/>
                <w:sz w:val="22"/>
              </w:rPr>
              <w:t>Implied Stock Performance Decomposition (Aug 4, 2026)</w:t>
            </w:r>
          </w:p>
        </w:tc>
      </w:tr>
      <w:tr>
        <w:tc>
          <w:tcPr>
            <w:tcW w:type="dxa" w:w="2880"/>
          </w:tcPr>
          <w:p>
            <w:r>
              <w:rPr>
                <w:rFonts w:ascii="Calibri" w:hAnsi="Calibri"/>
                <w:sz w:val="22"/>
              </w:rPr>
              <w:t>Price / Book Value</w:t>
            </w:r>
          </w:p>
        </w:tc>
        <w:tc>
          <w:tcPr>
            <w:tcW w:type="dxa" w:w="2880"/>
          </w:tcPr>
          <w:p>
            <w:r>
              <w:rPr>
                <w:rFonts w:ascii="Calibri" w:hAnsi="Calibri"/>
                <w:sz w:val="22"/>
              </w:rPr>
              <w:t>1.52x</w:t>
            </w:r>
          </w:p>
        </w:tc>
        <w:tc>
          <w:tcPr>
            <w:tcW w:type="dxa" w:w="2880"/>
          </w:tcPr>
          <w:p>
            <w:r>
              <w:rPr>
                <w:rFonts w:ascii="Calibri" w:hAnsi="Calibri"/>
                <w:sz w:val="22"/>
              </w:rPr>
              <w:t>Implied Stock Performance Decomposition (Aug 4, 2026)</w:t>
            </w:r>
          </w:p>
        </w:tc>
      </w:tr>
      <w:tr>
        <w:tc>
          <w:tcPr>
            <w:tcW w:type="dxa" w:w="2880"/>
          </w:tcPr>
          <w:p>
            <w:r>
              <w:rPr>
                <w:rFonts w:ascii="Calibri" w:hAnsi="Calibri"/>
                <w:sz w:val="22"/>
              </w:rPr>
              <w:t>FY2026 AFFO/Share Guidance</w:t>
            </w:r>
          </w:p>
        </w:tc>
        <w:tc>
          <w:tcPr>
            <w:tcW w:type="dxa" w:w="2880"/>
          </w:tcPr>
          <w:p>
            <w:r>
              <w:rPr>
                <w:rFonts w:ascii="Calibri" w:hAnsi="Calibri"/>
                <w:sz w:val="22"/>
              </w:rPr>
              <w:t>$4.41–$4.44</w:t>
            </w:r>
          </w:p>
        </w:tc>
        <w:tc>
          <w:tcPr>
            <w:tcW w:type="dxa" w:w="2880"/>
          </w:tcPr>
          <w:p>
            <w:r>
              <w:rPr>
                <w:rFonts w:ascii="Calibri" w:hAnsi="Calibri"/>
                <w:sz w:val="22"/>
              </w:rPr>
              <w:t>Q1 2026 Earnings Call (May 6, 2026)</w:t>
            </w:r>
          </w:p>
        </w:tc>
      </w:tr>
      <w:tr>
        <w:tc>
          <w:tcPr>
            <w:tcW w:type="dxa" w:w="2880"/>
          </w:tcPr>
          <w:p>
            <w:r>
              <w:rPr>
                <w:rFonts w:ascii="Calibri" w:hAnsi="Calibri"/>
                <w:sz w:val="22"/>
              </w:rPr>
              <w:t>FY2026 Investment Volume Guidance</w:t>
            </w:r>
          </w:p>
        </w:tc>
        <w:tc>
          <w:tcPr>
            <w:tcW w:type="dxa" w:w="2880"/>
          </w:tcPr>
          <w:p>
            <w:r>
              <w:rPr>
                <w:rFonts w:ascii="Calibri" w:hAnsi="Calibri"/>
                <w:sz w:val="22"/>
              </w:rPr>
              <w:t>$9.5B (100% ownership)</w:t>
            </w:r>
          </w:p>
        </w:tc>
        <w:tc>
          <w:tcPr>
            <w:tcW w:type="dxa" w:w="2880"/>
          </w:tcPr>
          <w:p>
            <w:r>
              <w:rPr>
                <w:rFonts w:ascii="Calibri" w:hAnsi="Calibri"/>
                <w:sz w:val="22"/>
              </w:rPr>
              <w:t>Q1 2026 Earnings Call (May 6, 2026); raised from $8.0B</w:t>
            </w:r>
          </w:p>
        </w:tc>
      </w:tr>
      <w:tr>
        <w:tc>
          <w:tcPr>
            <w:tcW w:type="dxa" w:w="2880"/>
          </w:tcPr>
          <w:p>
            <w:r>
              <w:rPr>
                <w:rFonts w:ascii="Calibri" w:hAnsi="Calibri"/>
                <w:sz w:val="22"/>
              </w:rPr>
              <w:t>FY2026 Credit Loss Guidance</w:t>
            </w:r>
          </w:p>
        </w:tc>
        <w:tc>
          <w:tcPr>
            <w:tcW w:type="dxa" w:w="2880"/>
          </w:tcPr>
          <w:p>
            <w:r>
              <w:rPr>
                <w:rFonts w:ascii="Calibri" w:hAnsi="Calibri"/>
                <w:sz w:val="22"/>
              </w:rPr>
              <w:t>~40bps of rental revenue</w:t>
            </w:r>
          </w:p>
        </w:tc>
        <w:tc>
          <w:tcPr>
            <w:tcW w:type="dxa" w:w="2880"/>
          </w:tcPr>
          <w:p>
            <w:r>
              <w:rPr>
                <w:rFonts w:ascii="Calibri" w:hAnsi="Calibri"/>
                <w:sz w:val="22"/>
              </w:rPr>
              <w:t>Q1 2026 Earnings Call (May 6, 2026); lowered from ~75bps</w:t>
            </w:r>
          </w:p>
        </w:tc>
      </w:tr>
      <w:tr>
        <w:tc>
          <w:tcPr>
            <w:tcW w:type="dxa" w:w="2880"/>
          </w:tcPr>
          <w:p>
            <w:r>
              <w:rPr>
                <w:rFonts w:ascii="Calibri" w:hAnsi="Calibri"/>
                <w:sz w:val="22"/>
              </w:rPr>
              <w:t>Net Debt / EBITDA (Q1 2026)</w:t>
            </w:r>
          </w:p>
        </w:tc>
        <w:tc>
          <w:tcPr>
            <w:tcW w:type="dxa" w:w="2880"/>
          </w:tcPr>
          <w:p>
            <w:r>
              <w:rPr>
                <w:rFonts w:ascii="Calibri" w:hAnsi="Calibri"/>
                <w:sz w:val="22"/>
              </w:rPr>
              <w:t>5.2x (4.9x incl. forward equity)</w:t>
            </w:r>
          </w:p>
        </w:tc>
        <w:tc>
          <w:tcPr>
            <w:tcW w:type="dxa" w:w="2880"/>
          </w:tcPr>
          <w:p>
            <w:r>
              <w:rPr>
                <w:rFonts w:ascii="Calibri" w:hAnsi="Calibri"/>
                <w:sz w:val="22"/>
              </w:rPr>
              <w:t>Q1 2026 Earnings Release (May 6, 2026)</w:t>
            </w:r>
          </w:p>
        </w:tc>
      </w:tr>
      <w:tr>
        <w:tc>
          <w:tcPr>
            <w:tcW w:type="dxa" w:w="2880"/>
          </w:tcPr>
          <w:p>
            <w:r>
              <w:rPr>
                <w:rFonts w:ascii="Calibri" w:hAnsi="Calibri"/>
                <w:sz w:val="22"/>
              </w:rPr>
              <w:t>Total Liquidity (as of June 25, 2026)</w:t>
            </w:r>
          </w:p>
        </w:tc>
        <w:tc>
          <w:tcPr>
            <w:tcW w:type="dxa" w:w="2880"/>
          </w:tcPr>
          <w:p>
            <w:r>
              <w:rPr>
                <w:rFonts w:ascii="Calibri" w:hAnsi="Calibri"/>
                <w:sz w:val="22"/>
              </w:rPr>
              <w:t>~$4.0B (pro-rata)</w:t>
            </w:r>
          </w:p>
        </w:tc>
        <w:tc>
          <w:tcPr>
            <w:tcW w:type="dxa" w:w="2880"/>
          </w:tcPr>
          <w:p>
            <w:r>
              <w:rPr>
                <w:rFonts w:ascii="Calibri" w:hAnsi="Calibri"/>
                <w:sz w:val="22"/>
              </w:rPr>
              <w:t>8-K (June 29, 2026)</w:t>
            </w:r>
          </w:p>
        </w:tc>
      </w:tr>
      <w:tr>
        <w:tc>
          <w:tcPr>
            <w:tcW w:type="dxa" w:w="2880"/>
          </w:tcPr>
          <w:p>
            <w:r>
              <w:rPr>
                <w:rFonts w:ascii="Calibri" w:hAnsi="Calibri"/>
                <w:sz w:val="22"/>
              </w:rPr>
              <w:t>Revolving Credit Facility (post-July 13)</w:t>
            </w:r>
          </w:p>
        </w:tc>
        <w:tc>
          <w:tcPr>
            <w:tcW w:type="dxa" w:w="2880"/>
          </w:tcPr>
          <w:p>
            <w:r>
              <w:rPr>
                <w:rFonts w:ascii="Calibri" w:hAnsi="Calibri"/>
                <w:sz w:val="22"/>
              </w:rPr>
              <w:t>$5.5B (accordion to $6.5B)</w:t>
            </w:r>
          </w:p>
        </w:tc>
        <w:tc>
          <w:tcPr>
            <w:tcW w:type="dxa" w:w="2880"/>
          </w:tcPr>
          <w:p>
            <w:r>
              <w:rPr>
                <w:rFonts w:ascii="Calibri" w:hAnsi="Calibri"/>
                <w:sz w:val="22"/>
              </w:rPr>
              <w:t>8-K (July 13, 2026)</w:t>
            </w:r>
          </w:p>
        </w:tc>
      </w:tr>
      <w:tr>
        <w:tc>
          <w:tcPr>
            <w:tcW w:type="dxa" w:w="2880"/>
          </w:tcPr>
          <w:p>
            <w:r>
              <w:rPr>
                <w:rFonts w:ascii="Calibri" w:hAnsi="Calibri"/>
                <w:sz w:val="22"/>
              </w:rPr>
              <w:t>ATM Unsettled Forward Equity (as of June 25)</w:t>
            </w:r>
          </w:p>
        </w:tc>
        <w:tc>
          <w:tcPr>
            <w:tcW w:type="dxa" w:w="2880"/>
          </w:tcPr>
          <w:p>
            <w:r>
              <w:rPr>
                <w:rFonts w:ascii="Calibri" w:hAnsi="Calibri"/>
                <w:sz w:val="22"/>
              </w:rPr>
              <w:t>~$2.06B</w:t>
            </w:r>
          </w:p>
        </w:tc>
        <w:tc>
          <w:tcPr>
            <w:tcW w:type="dxa" w:w="2880"/>
          </w:tcPr>
          <w:p>
            <w:r>
              <w:rPr>
                <w:rFonts w:ascii="Calibri" w:hAnsi="Calibri"/>
                <w:sz w:val="22"/>
              </w:rPr>
              <w:t>8-K (June 29, 2026)</w:t>
            </w:r>
          </w:p>
        </w:tc>
      </w:tr>
      <w:tr>
        <w:tc>
          <w:tcPr>
            <w:tcW w:type="dxa" w:w="2880"/>
          </w:tcPr>
          <w:p>
            <w:r>
              <w:rPr>
                <w:rFonts w:ascii="Calibri" w:hAnsi="Calibri"/>
                <w:sz w:val="22"/>
              </w:rPr>
              <w:t>Q1 2026 AFFO/Share (Actual)</w:t>
            </w:r>
          </w:p>
        </w:tc>
        <w:tc>
          <w:tcPr>
            <w:tcW w:type="dxa" w:w="2880"/>
          </w:tcPr>
          <w:p>
            <w:r>
              <w:rPr>
                <w:rFonts w:ascii="Calibri" w:hAnsi="Calibri"/>
                <w:sz w:val="22"/>
              </w:rPr>
              <w:t>$1.13</w:t>
            </w:r>
          </w:p>
        </w:tc>
        <w:tc>
          <w:tcPr>
            <w:tcW w:type="dxa" w:w="2880"/>
          </w:tcPr>
          <w:p>
            <w:r>
              <w:rPr>
                <w:rFonts w:ascii="Calibri" w:hAnsi="Calibri"/>
                <w:sz w:val="22"/>
              </w:rPr>
              <w:t>Visible Alpha Actuals; Q1 2026 Earnings Release</w:t>
            </w:r>
          </w:p>
        </w:tc>
      </w:tr>
      <w:tr>
        <w:tc>
          <w:tcPr>
            <w:tcW w:type="dxa" w:w="2880"/>
          </w:tcPr>
          <w:p>
            <w:r>
              <w:rPr>
                <w:rFonts w:ascii="Calibri" w:hAnsi="Calibri"/>
                <w:sz w:val="22"/>
              </w:rPr>
              <w:t>Q1 2026 Occupancy Rate</w:t>
            </w:r>
          </w:p>
        </w:tc>
        <w:tc>
          <w:tcPr>
            <w:tcW w:type="dxa" w:w="2880"/>
          </w:tcPr>
          <w:p>
            <w:r>
              <w:rPr>
                <w:rFonts w:ascii="Calibri" w:hAnsi="Calibri"/>
                <w:sz w:val="22"/>
              </w:rPr>
              <w:t>98.9%</w:t>
            </w:r>
          </w:p>
        </w:tc>
        <w:tc>
          <w:tcPr>
            <w:tcW w:type="dxa" w:w="2880"/>
          </w:tcPr>
          <w:p>
            <w:r>
              <w:rPr>
                <w:rFonts w:ascii="Calibri" w:hAnsi="Calibri"/>
                <w:sz w:val="22"/>
              </w:rPr>
              <w:t>Visible Alpha Actuals; Q1 2026 Earnings Release</w:t>
            </w:r>
          </w:p>
        </w:tc>
      </w:tr>
      <w:tr>
        <w:tc>
          <w:tcPr>
            <w:tcW w:type="dxa" w:w="2880"/>
          </w:tcPr>
          <w:p>
            <w:r>
              <w:rPr>
                <w:rFonts w:ascii="Calibri" w:hAnsi="Calibri"/>
                <w:sz w:val="22"/>
              </w:rPr>
              <w:t>Q1 2026 Rent Recapture Rate</w:t>
            </w:r>
          </w:p>
        </w:tc>
        <w:tc>
          <w:tcPr>
            <w:tcW w:type="dxa" w:w="2880"/>
          </w:tcPr>
          <w:p>
            <w:r>
              <w:rPr>
                <w:rFonts w:ascii="Calibri" w:hAnsi="Calibri"/>
                <w:sz w:val="22"/>
              </w:rPr>
              <w:t>103.4%</w:t>
            </w:r>
          </w:p>
        </w:tc>
        <w:tc>
          <w:tcPr>
            <w:tcW w:type="dxa" w:w="2880"/>
          </w:tcPr>
          <w:p>
            <w:r>
              <w:rPr>
                <w:rFonts w:ascii="Calibri" w:hAnsi="Calibri"/>
                <w:sz w:val="22"/>
              </w:rPr>
              <w:t>Q1 2026 Earnings Call (May 6, 2026)</w:t>
            </w:r>
          </w:p>
        </w:tc>
      </w:tr>
      <w:tr>
        <w:tc>
          <w:tcPr>
            <w:tcW w:type="dxa" w:w="2880"/>
          </w:tcPr>
          <w:p>
            <w:r>
              <w:rPr>
                <w:rFonts w:ascii="Calibri" w:hAnsi="Calibri"/>
                <w:sz w:val="22"/>
              </w:rPr>
              <w:t>Q1 2026 Lease Termination Income</w:t>
            </w:r>
          </w:p>
        </w:tc>
        <w:tc>
          <w:tcPr>
            <w:tcW w:type="dxa" w:w="2880"/>
          </w:tcPr>
          <w:p>
            <w:r>
              <w:rPr>
                <w:rFonts w:ascii="Calibri" w:hAnsi="Calibri"/>
                <w:sz w:val="22"/>
              </w:rPr>
              <w:t>$40.2M</w:t>
            </w:r>
          </w:p>
        </w:tc>
        <w:tc>
          <w:tcPr>
            <w:tcW w:type="dxa" w:w="2880"/>
          </w:tcPr>
          <w:p>
            <w:r>
              <w:rPr>
                <w:rFonts w:ascii="Calibri" w:hAnsi="Calibri"/>
                <w:sz w:val="22"/>
              </w:rPr>
              <w:t>Q1 2026 Earnings Call (May 6, 2026); flagged as episodic</w:t>
            </w:r>
          </w:p>
        </w:tc>
      </w:tr>
      <w:tr>
        <w:tc>
          <w:tcPr>
            <w:tcW w:type="dxa" w:w="2880"/>
          </w:tcPr>
          <w:p>
            <w:r>
              <w:rPr>
                <w:rFonts w:ascii="Calibri" w:hAnsi="Calibri"/>
                <w:sz w:val="22"/>
              </w:rPr>
              <w:t>Portfolio Properties</w:t>
            </w:r>
          </w:p>
        </w:tc>
        <w:tc>
          <w:tcPr>
            <w:tcW w:type="dxa" w:w="2880"/>
          </w:tcPr>
          <w:p>
            <w:r>
              <w:rPr>
                <w:rFonts w:ascii="Calibri" w:hAnsi="Calibri"/>
                <w:sz w:val="22"/>
              </w:rPr>
              <w:t>15,600+</w:t>
            </w:r>
          </w:p>
        </w:tc>
        <w:tc>
          <w:tcPr>
            <w:tcW w:type="dxa" w:w="2880"/>
          </w:tcPr>
          <w:p>
            <w:r>
              <w:rPr>
                <w:rFonts w:ascii="Calibri" w:hAnsi="Calibri"/>
                <w:sz w:val="22"/>
              </w:rPr>
              <w:t>Nareit REITweek (June 3, 2026)</w:t>
            </w:r>
          </w:p>
        </w:tc>
      </w:tr>
      <w:tr>
        <w:tc>
          <w:tcPr>
            <w:tcW w:type="dxa" w:w="2880"/>
          </w:tcPr>
          <w:p>
            <w:r>
              <w:rPr>
                <w:rFonts w:ascii="Calibri" w:hAnsi="Calibri"/>
                <w:sz w:val="22"/>
              </w:rPr>
              <w:t>Portfolio Composition</w:t>
            </w:r>
          </w:p>
        </w:tc>
        <w:tc>
          <w:tcPr>
            <w:tcW w:type="dxa" w:w="2880"/>
          </w:tcPr>
          <w:p>
            <w:r>
              <w:rPr>
                <w:rFonts w:ascii="Calibri" w:hAnsi="Calibri"/>
                <w:sz w:val="22"/>
              </w:rPr>
              <w:t>~78% retail, ~15–16% industrial, ~2% gaming, growing data center</w:t>
            </w:r>
          </w:p>
        </w:tc>
        <w:tc>
          <w:tcPr>
            <w:tcW w:type="dxa" w:w="2880"/>
          </w:tcPr>
          <w:p>
            <w:r>
              <w:rPr>
                <w:rFonts w:ascii="Calibri" w:hAnsi="Calibri"/>
                <w:sz w:val="22"/>
              </w:rPr>
              <w:t>Nareit REITweek (June 3, 2026)</w:t>
            </w:r>
          </w:p>
        </w:tc>
      </w:tr>
      <w:tr>
        <w:tc>
          <w:tcPr>
            <w:tcW w:type="dxa" w:w="2880"/>
          </w:tcPr>
          <w:p>
            <w:r>
              <w:rPr>
                <w:rFonts w:ascii="Calibri" w:hAnsi="Calibri"/>
                <w:sz w:val="22"/>
              </w:rPr>
              <w:t>Largest Tenant Concentration</w:t>
            </w:r>
          </w:p>
        </w:tc>
        <w:tc>
          <w:tcPr>
            <w:tcW w:type="dxa" w:w="2880"/>
          </w:tcPr>
          <w:p>
            <w:r>
              <w:rPr>
                <w:rFonts w:ascii="Calibri" w:hAnsi="Calibri"/>
                <w:sz w:val="22"/>
              </w:rPr>
              <w:t>&lt;4% of rent (no single tenant)</w:t>
            </w:r>
          </w:p>
        </w:tc>
        <w:tc>
          <w:tcPr>
            <w:tcW w:type="dxa" w:w="2880"/>
          </w:tcPr>
          <w:p>
            <w:r>
              <w:rPr>
                <w:rFonts w:ascii="Calibri" w:hAnsi="Calibri"/>
                <w:sz w:val="22"/>
              </w:rPr>
              <w:t>Nareit REITweek (June 3, 2026)</w:t>
            </w:r>
          </w:p>
        </w:tc>
      </w:tr>
    </w:tbl>
    <w:p>
      <w:r>
        <w:rPr>
          <w:rFonts w:ascii="Calibri" w:hAnsi="Calibri"/>
          <w:b/>
          <w:color w:val="525866"/>
          <w:sz w:val="22"/>
        </w:rPr>
        <w:t>Disclosures &amp; Data Sources</w:t>
      </w:r>
    </w:p>
    <w:p>
      <w:r>
        <w:rPr>
          <w:rFonts w:ascii="Calibri" w:hAnsi="Calibri"/>
          <w:i/>
          <w:color w:val="525866"/>
          <w:sz w:val="22"/>
        </w:rPr>
        <w:t>This document is prepared for informational purposes only. All financial data sourced from: Visible Alpha Consensus and Actuals Database; SEC EDGAR Form 4 and 8-K filings; Realty Income Corporation Q1 2026 Earnings Call Transcript (May 6, 2026); Nareit REITweek 2026 Investor Conference Transcript (June 3, 2026); Realty Income 8-K filings (May 8, June 29, July 7, July 13, 2026); ADC Q2 2026 Earnings Call Transcript (July 31, 2026); NTST Q2 2026 Earnings Call Transcript (July 23, 2026); GTY Q2 2026 Earnings Call Transcript (July 23, 2026); FCPT Q2 2026 Earnings Call Transcript (July 30, 2026); KIM Q2 2026 Earnings Call Transcript (August 4, 2026); IVT Q2 2026 Earnings Call Transcript (August 4, 2026); MAC Q2 2026 Earnings Call Transcript (August 4, 2026); Implied Stock Performance Decomposition and Insider Transaction Database. Prepared: August 4,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