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(continuing ops)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~$7.05B vs. cons $7.10B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Midstream &amp; Marketing segment pre-tax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270M (quarterly run-rate implied by raised $1.1B FY guide)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~1.45 MMBoe/d vs. cons 1.44 MMBoe/d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spending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~$5.7B midpoint vs. cons $5.7B (FY2026, range $5.5-5.9B reaffirmed)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Principal debt level / path to $10B milestone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</m:t>
              </m:r>
              <m:r>
                <m:t>B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n</m:t>
              </m:r>
              <m:r>
                <m:t>d</m:t>
              </m:r>
              <m:r>
                <m:t>d</m:t>
              </m:r>
              <m:r>
                <m:t>e</m:t>
              </m:r>
              <m:r>
                <m:t>b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t> </m:t>
              </m:r>
            </m:oMath>
            <w:r>
              <w:t xml:space="preserve">12B trajectory (Q2 2026 quarter-end, ahead of schedule)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Midstream &amp; Marketing pre-tax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~$1.3B vs. prior guide $1.1B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Q2 realized prices/hedge losses were already disclosed in the July 10 'earnings considerations' filing, so the headline oil-price-driven EPS/revenue beat is largely priced in, leaving limited room for a sustained positive surprise; the Q1 2026 print showed the same dynamic (stock fell ~7% day-1 and continued lower for the next two sessions despite a beat and raised guidance) as investors rotated out on 'sell-the-news' plus profit-taking after a big run. With WTI/Brent likely rolling over from Q2's Iran-conflict spike into Q3 (softening the H2 realized-price assumption embedded in sell-side models), any initial pop from debt/midstream upside is likely to fade/extend lower as analysts trim out-period (H2 2026/2027) EPS and cash-flow estimates even after acknowledging the Q2 beat, consistent with a follow-through/negative-drift pattern rather than a snap-back.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2026-08-05T01:47:31Z</dcterms:created>
  <dcterms:modified xsi:type="dcterms:W3CDTF">2026-08-05T01:47:31Z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