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X053d103eab20228cf7f10d4d3e17d4050f39750"/>
    <w:p>
      <w:pPr>
        <w:pStyle w:val="Heading1"/>
      </w:pPr>
      <w:r>
        <w:t xml:space="preserve">Occidental Petroleum (OXY)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August 5, 2026 (after market close)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Thursday, August 6, 2026, 1:00 p.m. ET</w:t>
      </w:r>
    </w:p>
    <w:p>
      <w:r>
        <w:pict>
          <v:rect style="width:0;height:1.5pt" o:hralign="center" o:hrstd="t" o:hr="t"/>
        </w:pict>
      </w:r>
    </w:p>
    <w:bookmarkStart w:id="9" w:name="X41de0de1d55ae5786795dccc188084275b6560a"/>
    <w:p>
      <w:pPr>
        <w:pStyle w:val="Heading2"/>
      </w:pPr>
      <w:r>
        <w:t xml:space="preserve">Setup: A Very Different Macro Backdrop Than Q1</w:t>
      </w:r>
    </w:p>
    <w:p>
      <w:pPr>
        <w:pStyle w:val="FirstParagraph"/>
      </w:pPr>
      <w:r>
        <w:t xml:space="preserve">OXY heads into this print against the backdrop of the most volatile oil market in years. After averaging $71.93/bbl WTI and $77.93/bbl Brent in Q1 2026, prices spiked sharply in Q2/Q3 as the U.S.-Iran conflict escalated — Brent broke above $90 in mid-July on fears over Strait of Hormuz tanker traffic, and jumped further (Brent +7.9% to $90.74, WTI +6.6% to</w:t>
      </w:r>
      <w:r>
        <w:t xml:space="preserve"> </w:t>
      </w:r>
      <w:r>
        <w:t xml:space="preserve">$84.46) after President Trump threatened retaliation against Iran. Oxy's own pre-announced "Q2 2026 Earnings Considerations" (filed July 10) show the impact directly: average realized worldwide oil price of **$</w:t>
      </w:r>
      <w:r>
        <w:t xml:space="preserve">96.78/bbl** (104% of WTI, 100% of Brent) versus $69.91/bbl in Q1 — a roughly 38% sequential jump. Average WTI/Brent for the quarter were</w:t>
      </w:r>
      <w:r>
        <w:t xml:space="preserve"> </w:t>
      </w:r>
      <m:oMath>
        <m:r>
          <m:t>92.79</m:t>
        </m:r>
        <m:r>
          <m:rPr>
            <m:sty m:val="p"/>
          </m:rPr>
          <m:t>/</m:t>
        </m:r>
      </m:oMath>
      <w:r>
        <w:t xml:space="preserve">97.06.</w:t>
      </w:r>
    </w:p>
    <w:p>
      <w:pPr>
        <w:pStyle w:val="BodyText"/>
      </w:pPr>
      <w:r>
        <w:t xml:space="preserve">Two offsets are worth flagging up front: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Hedges cap some upside.</w:t>
      </w:r>
      <w:r>
        <w:t xml:space="preserve"> </w:t>
      </w:r>
      <w:r>
        <w:t xml:space="preserve">Oxy layered in costless collars in February (100,000 bbl/d, March–Dec 2026,</w:t>
      </w:r>
      <w:r>
        <w:t xml:space="preserve"> </w:t>
      </w:r>
      <m:oMath>
        <m:r>
          <m:t>55</m:t>
        </m:r>
        <m:r>
          <m:t>W</m:t>
        </m:r>
        <m:r>
          <m:t>T</m:t>
        </m:r>
        <m:r>
          <m:t>I</m:t>
        </m:r>
        <m:r>
          <m:t>f</m:t>
        </m:r>
        <m:r>
          <m:t>l</m:t>
        </m:r>
        <m:r>
          <m:t>o</m:t>
        </m:r>
        <m:r>
          <m:t>o</m:t>
        </m:r>
        <m:r>
          <m:t>r</m:t>
        </m:r>
        <m:r>
          <m:rPr>
            <m:sty m:val="p"/>
          </m:rPr>
          <m:t>/</m:t>
        </m:r>
        <m:r>
          <m:t> </m:t>
        </m:r>
      </m:oMath>
      <w:r>
        <w:t xml:space="preserve">76 WTI weighted-average ceiling) before the conflict escalated. With WTI averaging ~</w:t>
      </w:r>
      <m:oMath>
        <m:r>
          <m:t>93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,</m:t>
        </m:r>
        <m:r>
          <m:t>t</m:t>
        </m:r>
        <m:r>
          <m:t>h</m:t>
        </m:r>
        <m:r>
          <m:t>o</m:t>
        </m:r>
        <m:r>
          <m:t>s</m:t>
        </m:r>
        <m:r>
          <m:t>e</m:t>
        </m:r>
        <m:r>
          <m:t>c</m:t>
        </m:r>
        <m:r>
          <m:t>o</m:t>
        </m:r>
        <m:r>
          <m:t>l</m:t>
        </m:r>
        <m:r>
          <m:t>l</m:t>
        </m:r>
        <m:r>
          <m:t>a</m:t>
        </m:r>
        <m:r>
          <m:t>r</m:t>
        </m:r>
        <m:r>
          <m:t>s</m:t>
        </m:r>
        <m:r>
          <m:t>w</m:t>
        </m:r>
        <m:r>
          <m:t>o</m:t>
        </m:r>
        <m:r>
          <m:t>r</m:t>
        </m:r>
        <m:r>
          <m:t>k</m:t>
        </m:r>
        <m:r>
          <m:t>e</m:t>
        </m:r>
        <m:r>
          <m:t>d</m:t>
        </m:r>
        <m:r>
          <m:t>a</m:t>
        </m:r>
        <m:r>
          <m:t>g</m:t>
        </m:r>
        <m:r>
          <m:t>a</m:t>
        </m:r>
        <m:r>
          <m:t>i</m:t>
        </m:r>
        <m:r>
          <m:t>n</m:t>
        </m:r>
        <m:r>
          <m:t>s</m:t>
        </m:r>
        <m:r>
          <m:t>t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—</m:t>
        </m:r>
        <m:r>
          <m:t>c</m:t>
        </m:r>
        <m:r>
          <m:t>r</m:t>
        </m:r>
        <m:r>
          <m:t>u</m:t>
        </m:r>
        <m:r>
          <m:t>d</m:t>
        </m:r>
        <m:r>
          <m:t>e</m:t>
        </m:r>
        <m:r>
          <m:t>o</m:t>
        </m:r>
        <m:r>
          <m:t>i</m:t>
        </m:r>
        <m:r>
          <m:t>l</m:t>
        </m:r>
        <m:r>
          <m:t>c</m:t>
        </m:r>
        <m:r>
          <m:t>o</m:t>
        </m:r>
        <m:r>
          <m:t>l</m:t>
        </m:r>
        <m:r>
          <m:t>l</m:t>
        </m:r>
        <m:r>
          <m:t>a</m:t>
        </m:r>
        <m:r>
          <m:t>r</m:t>
        </m:r>
        <m:r>
          <m:t>s</m:t>
        </m:r>
        <m:r>
          <m:t>e</m:t>
        </m:r>
        <m:r>
          <m:t>t</m:t>
        </m:r>
        <m:r>
          <m:t>t</m:t>
        </m:r>
        <m:r>
          <m:t>l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*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e</m:t>
        </m:r>
        <m:r>
          <m:t>d</m:t>
        </m:r>
        <m:r>
          <m:rPr>
            <m:sty m:val="p"/>
          </m:rPr>
          <m:t>*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w</m:t>
        </m:r>
        <m:r>
          <m:t>o</m:t>
        </m:r>
        <m:r>
          <m:t>r</m:t>
        </m:r>
        <m:r>
          <m:t>k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b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156 million** in the quarter, per the earnings considerations filing.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Negative domestic gas pricing.</w:t>
      </w:r>
      <w:r>
        <w:t xml:space="preserve"> </w:t>
      </w:r>
      <w:r>
        <w:t xml:space="preserve">The same filing shows realized domestic natural gas at **-</w:t>
      </w:r>
      <m:oMath>
        <m:r>
          <m:t>0.80</m:t>
        </m:r>
        <m:r>
          <m:rPr>
            <m:sty m:val="p"/>
          </m:rPr>
          <m:t>/</m:t>
        </m:r>
        <m:r>
          <m:t>M</m:t>
        </m:r>
        <m:r>
          <m:t>c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  <m:r>
          <m:t>w</m:t>
        </m:r>
        <m:r>
          <m:t>i</m:t>
        </m:r>
        <m:r>
          <m:t>d</m:t>
        </m:r>
        <m:r>
          <m:t>e</m:t>
        </m:r>
        <m:r>
          <m:t>g</m:t>
        </m:r>
        <m:r>
          <m:t>a</m:t>
        </m:r>
        <m:r>
          <m:t>s</m:t>
        </m:r>
        <m:r>
          <m:rPr>
            <m:sty m:val="p"/>
          </m:rPr>
          <m:t>−</m:t>
        </m:r>
      </m:oMath>
      <w:r>
        <w:t xml:space="preserve">(0.80) blended, NYMEX averaged $2.89) — a reminder that Permian/Waha basis blowouts remain a headwind even as oil strength dominates the headline story.</w:t>
      </w:r>
    </w:p>
    <w:p>
      <w:pPr>
        <w:pStyle w:val="FirstParagraph"/>
      </w:pPr>
      <w:r>
        <w:t xml:space="preserve">Consensus currently models</w:t>
      </w:r>
      <w:r>
        <w:t xml:space="preserve"> </w:t>
      </w:r>
      <w:r>
        <w:rPr>
          <w:b/>
          <w:bCs/>
        </w:rPr>
        <w:t xml:space="preserve">adjusted EPS of ~</w:t>
      </w:r>
      <m:oMath>
        <m:r>
          <m:t>1.84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o</m:t>
        </m:r>
        <m:r>
          <m:t>f</m:t>
        </m:r>
        <m:r>
          <m:t> </m:t>
        </m:r>
      </m:oMath>
      <w:r>
        <w:rPr>
          <w:b/>
          <w:bCs/>
        </w:rPr>
        <w:t xml:space="preserve">7.1 billion</w:t>
      </w:r>
      <w:r>
        <w:t xml:space="preserve"> </w:t>
      </w:r>
      <w:r>
        <w:t xml:space="preserve">for the quarter — a sharp step-up from Q1's</w:t>
      </w:r>
      <w:r>
        <w:t xml:space="preserve"> </w:t>
      </w:r>
      <m:oMath>
        <m:r>
          <m:t>1.06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,</m:t>
        </m:r>
        <m:r>
          <m:t>c</m:t>
        </m:r>
        <m:r>
          <m:t>o</m:t>
        </m:r>
        <m:r>
          <m:t>n</m:t>
        </m:r>
        <m:r>
          <m:t>s</m:t>
        </m:r>
        <m:r>
          <m:t>i</m:t>
        </m:r>
        <m:r>
          <m:t>s</m:t>
        </m:r>
        <m:r>
          <m:t>t</m:t>
        </m:r>
        <m:r>
          <m:t>e</m:t>
        </m:r>
        <m:r>
          <m:t>n</m:t>
        </m:r>
        <m:r>
          <m:t>t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o</m:t>
        </m:r>
        <m:r>
          <m:t>i</m:t>
        </m:r>
        <m:r>
          <m:t>l</m:t>
        </m:r>
        <m:r>
          <m:rPr>
            <m:sty m:val="p"/>
          </m:rPr>
          <m:t>−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u</m:t>
        </m:r>
        <m:r>
          <m:t>r</m:t>
        </m:r>
        <m:r>
          <m:t>g</m:t>
        </m:r>
        <m:r>
          <m:t>e</m:t>
        </m:r>
        <m:r>
          <m:rPr>
            <m:sty m:val="p"/>
          </m:rPr>
          <m:t>.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b</m:t>
        </m:r>
        <m:r>
          <m:t>e</m:t>
        </m:r>
        <m:r>
          <m:t>e</m:t>
        </m:r>
        <m:r>
          <m:t>n</m:t>
        </m:r>
        <m:r>
          <m:t>v</m:t>
        </m:r>
        <m:r>
          <m:t>o</m:t>
        </m:r>
        <m:r>
          <m:t>l</m:t>
        </m:r>
        <m:r>
          <m:t>a</m:t>
        </m:r>
        <m:r>
          <m:t>t</m:t>
        </m:r>
        <m:r>
          <m:t>i</m:t>
        </m:r>
        <m:r>
          <m:t>l</m:t>
        </m:r>
        <m:r>
          <m:t>e</m:t>
        </m:r>
        <m:r>
          <m:t>a</m:t>
        </m:r>
        <m:r>
          <m:t>l</m:t>
        </m:r>
        <m:r>
          <m:t>l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:</m:t>
        </m:r>
        <m:r>
          <m:t>O</m:t>
        </m:r>
        <m:r>
          <m:t>X</m:t>
        </m:r>
        <m:r>
          <m:t>Y</m:t>
        </m:r>
        <m:r>
          <m:t>r</m:t>
        </m:r>
        <m:r>
          <m:t>a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40s in January to a 2026 high near</w:t>
      </w:r>
      <w:r>
        <w:t xml:space="preserve"> </w:t>
      </w:r>
      <m:oMath>
        <m:r>
          <m:t>66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(</m:t>
        </m:r>
        <m:r>
          <m:t>o</m:t>
        </m:r>
        <m:r>
          <m:t>n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−</m:t>
        </m:r>
        <m:r>
          <m:t>p</m:t>
        </m:r>
        <m:r>
          <m:t>a</m:t>
        </m:r>
        <m:r>
          <m:t>y</m:t>
        </m:r>
        <m:r>
          <m:t>d</m:t>
        </m:r>
        <m:r>
          <m:t>o</m:t>
        </m:r>
        <m:r>
          <m:t>w</m:t>
        </m:r>
        <m:r>
          <m:t>n</m:t>
        </m:r>
        <m:r>
          <m:rPr>
            <m:sty m:val="p"/>
          </m:rPr>
          <m:t>/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rPr>
            <m:sty m:val="p"/>
          </m:rPr>
          <m:t>−</m:t>
        </m:r>
        <m:r>
          <m:t>h</m:t>
        </m:r>
        <m:r>
          <m:t>i</m:t>
        </m:r>
        <m:r>
          <m:t>k</m:t>
        </m:r>
        <m:r>
          <m:t>e</m:t>
        </m:r>
        <m:r>
          <m:t>m</m:t>
        </m:r>
        <m:r>
          <m:t>o</m:t>
        </m:r>
        <m:r>
          <m:t>m</m:t>
        </m:r>
        <m:r>
          <m:t>e</m:t>
        </m:r>
        <m:r>
          <m:t>n</m:t>
        </m:r>
        <m:r>
          <m:t>t</m:t>
        </m:r>
        <m:r>
          <m:t>u</m:t>
        </m:r>
        <m:r>
          <m:t>m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s</m:t>
        </m:r>
        <m:r>
          <m:t>o</m:t>
        </m:r>
        <m:r>
          <m:t>l</m:t>
        </m:r>
        <m:r>
          <m:t>d</m:t>
        </m:r>
        <m:r>
          <m:t>o</m:t>
        </m:r>
        <m:r>
          <m:t>f</m:t>
        </m:r>
        <m:r>
          <m:t>f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40s by late June as the stock lagged the macro rally, then rebounded into the high-$50s as the Iran conflict drove oil prices higher, closing near $55 heading into the print. Sell-side sentiment is mixed-to-modestly-positive: consensus price targets cluster in the low-to-mid $60s versus the current share price, implying meaningful upside if execution and capital-return signals hold up.</w:t>
      </w:r>
    </w:p>
    <w:p>
      <w:r>
        <w:pict>
          <v:rect style="width:0;height:1.5pt" o:hralign="center" o:hrstd="t" o:hr="t"/>
        </w:pict>
      </w:r>
    </w:p>
    <w:bookmarkEnd w:id="9"/>
    <w:bookmarkStart w:id="10" w:name="X48b0e3b2fce07dff7732a100bde6440daa295f5"/>
    <w:p>
      <w:pPr>
        <w:pStyle w:val="Heading2"/>
      </w:pPr>
      <w:r>
        <w:t xml:space="preserve">The Big Structural Story: A Transformed, Smaller, Cleaner Balance Sheet</w:t>
      </w:r>
    </w:p>
    <w:p>
      <w:pPr>
        <w:pStyle w:val="FirstParagraph"/>
      </w:pPr>
      <w:r>
        <w:t xml:space="preserve">Three structural changes dominate the "what's different" list for anyone who hasn't followed OXY closely since late 2025: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OxyChem is gone.</w:t>
      </w:r>
      <w:r>
        <w:t xml:space="preserve"> </w:t>
      </w:r>
      <w:r>
        <w:t xml:space="preserve">Occidental completed the **</w:t>
      </w:r>
      <m:oMath>
        <m:r>
          <m:t>9.7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t>s</m:t>
        </m:r>
        <m:r>
          <m:t>a</m:t>
        </m:r>
        <m:r>
          <m:t>l</m:t>
        </m:r>
        <m:r>
          <m:t>e</m:t>
        </m:r>
        <m:r>
          <m:t>o</m:t>
        </m:r>
        <m:r>
          <m:t>f</m:t>
        </m:r>
        <m:r>
          <m:t>O</m:t>
        </m:r>
        <m:r>
          <m:t>c</m:t>
        </m:r>
        <m:r>
          <m:t>c</m:t>
        </m:r>
        <m:r>
          <m:t>i</m:t>
        </m:r>
        <m:r>
          <m:t>d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C</m:t>
        </m:r>
        <m:r>
          <m:t>h</m:t>
        </m:r>
        <m:r>
          <m:t>e</m:t>
        </m:r>
        <m:r>
          <m:t>m</m:t>
        </m:r>
        <m:r>
          <m:t>i</m:t>
        </m:r>
        <m:r>
          <m:t>c</m:t>
        </m:r>
        <m:r>
          <m:t>a</m:t>
        </m:r>
        <m:r>
          <m:t>l</m:t>
        </m:r>
        <m:r>
          <m:t>C</m:t>
        </m:r>
        <m:r>
          <m:t>o</m:t>
        </m:r>
        <m:r>
          <m:t>r</m:t>
        </m:r>
        <m:r>
          <m:t>p</m:t>
        </m:r>
        <m:r>
          <m:t>o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B</m:t>
        </m:r>
        <m:r>
          <m:t>e</m:t>
        </m:r>
        <m:r>
          <m:t>r</m:t>
        </m:r>
        <m:r>
          <m:t>k</m:t>
        </m:r>
        <m:r>
          <m:t>s</m:t>
        </m:r>
        <m:r>
          <m:t>h</m:t>
        </m:r>
        <m:r>
          <m:t>i</m:t>
        </m:r>
        <m:r>
          <m:t>r</m:t>
        </m:r>
        <m:r>
          <m:t>e</m:t>
        </m:r>
        <m:r>
          <m:t>H</m:t>
        </m:r>
        <m:r>
          <m:t>a</m:t>
        </m:r>
        <m:r>
          <m:t>t</m:t>
        </m:r>
        <m:r>
          <m:t>h</m:t>
        </m:r>
        <m:r>
          <m:t>a</m:t>
        </m:r>
        <m:r>
          <m:t>w</m:t>
        </m:r>
        <m:r>
          <m:t>a</m:t>
        </m:r>
        <m:r>
          <m:t>y</m:t>
        </m:r>
        <m:r>
          <m:t>o</m:t>
        </m:r>
        <m:r>
          <m:t>n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2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O</m:t>
        </m:r>
        <m:r>
          <m:t>x</m:t>
        </m:r>
        <m:r>
          <m:t>y</m:t>
        </m:r>
        <m:r>
          <m:t>C</m:t>
        </m:r>
        <m:r>
          <m:t>h</m:t>
        </m:r>
        <m:r>
          <m:t>e</m:t>
        </m:r>
        <m:r>
          <m:t>m</m:t>
        </m:r>
        <m:r>
          <m:t>n</m:t>
        </m:r>
        <m:r>
          <m:t>o</m:t>
        </m:r>
        <m:r>
          <m:t>w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a</m:t>
        </m:r>
        <m:r>
          <m:t>s</m:t>
        </m:r>
        <m:r>
          <m:t>d</m:t>
        </m:r>
        <m:r>
          <m:t>i</m:t>
        </m:r>
        <m:r>
          <m:t>s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u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i</m:t>
        </m:r>
        <m:r>
          <m:t>n</m:t>
        </m:r>
        <m:r>
          <m:t>a</m:t>
        </m:r>
        <m:r>
          <m:t>l</m:t>
        </m:r>
        <m:r>
          <m:t>l</m:t>
        </m:r>
        <m:r>
          <m:t>p</m:t>
        </m:r>
        <m:r>
          <m:t>e</m:t>
        </m:r>
        <m:r>
          <m:t>r</m:t>
        </m:r>
        <m:r>
          <m:t>i</m:t>
        </m:r>
        <m:r>
          <m:t>o</m:t>
        </m:r>
        <m:r>
          <m:t>d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g</m:t>
        </m:r>
        <m:r>
          <m:t>a</m:t>
        </m:r>
        <m:r>
          <m:t>i</m:t>
        </m:r>
        <m:r>
          <m:t>n</m:t>
        </m:r>
        <m:r>
          <m:t>f</m:t>
        </m:r>
        <m:r>
          <m:t>l</m:t>
        </m:r>
        <m:r>
          <m:t>o</m:t>
        </m:r>
        <m:r>
          <m:t>w</m:t>
        </m:r>
        <m:r>
          <m:t>e</m:t>
        </m:r>
        <m:r>
          <m:t>d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Q</m:t>
        </m:r>
        <m:r>
          <m:t>1</m:t>
        </m:r>
        <m:r>
          <m:t>2026</m:t>
        </m:r>
        <m:r>
          <m:t>r</m:t>
        </m:r>
        <m:r>
          <m:t>e</m:t>
        </m:r>
        <m:r>
          <m:t>s</m:t>
        </m:r>
        <m:r>
          <m:t>u</m:t>
        </m:r>
        <m:r>
          <m:t>l</m:t>
        </m:r>
        <m:r>
          <m:t>t</m:t>
        </m:r>
        <m:r>
          <m:t>s</m:t>
        </m:r>
        <m:r>
          <m:rPr>
            <m:sty m:val="p"/>
          </m:rPr>
          <m:t>(</m:t>
        </m:r>
        <m:r>
          <m:t>a</m:t>
        </m:r>
        <m:r>
          <m:t> </m:t>
        </m:r>
      </m:oMath>
      <w:r>
        <w:t xml:space="preserve">3.1 billion after-tax gain), which is why reported Q1 diluted EPS was $3.13 versus adjusted continuing-ops EPS of just $1.06 — expect the market to keep focusing on adjusted continuing-operations metrics going forward, not headline GAAP EPS.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Aggressive deleveraging.</w:t>
      </w:r>
      <w:r>
        <w:t xml:space="preserve"> </w:t>
      </w:r>
      <w:r>
        <w:t xml:space="preserve">Since Q3 2025, Oxy has cut principal debt from ~</w:t>
      </w:r>
      <m:oMath>
        <m:r>
          <m:t>20.8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13.3 billion** (as of the Q1 call, reflecting $7.1 billion of paydown through May 5), beating its own</w:t>
      </w:r>
      <w:r>
        <w:t xml:space="preserve"> </w:t>
      </w:r>
      <m:oMath>
        <m:r>
          <m:t>14.3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i</m:t>
        </m:r>
        <m:r>
          <m:t>m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i</m:t>
        </m:r>
        <m:r>
          <m:t>t</m:t>
        </m:r>
        <m:r>
          <m:t>y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s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i</m:t>
        </m:r>
        <m:r>
          <m:t>n</m:t>
        </m:r>
        <m:r>
          <m:t>g</m:t>
        </m:r>
        <m:r>
          <m:t>p</m:t>
        </m:r>
        <m:r>
          <m:t>r</m:t>
        </m:r>
        <m:r>
          <m:t>i</m:t>
        </m:r>
        <m:r>
          <m:t>n</m:t>
        </m:r>
        <m:r>
          <m:t>c</m:t>
        </m:r>
        <m:r>
          <m:t>i</m:t>
        </m:r>
        <m:r>
          <m:t>p</m:t>
        </m:r>
        <m:r>
          <m:t>a</m:t>
        </m:r>
        <m:r>
          <m:t>l</m:t>
        </m:r>
        <m:r>
          <m:t>d</m:t>
        </m:r>
        <m:r>
          <m:t>e</m:t>
        </m:r>
        <m:r>
          <m:t>b</m:t>
        </m:r>
        <m:r>
          <m:t>t</m:t>
        </m:r>
        <m:r>
          <m:t>t</m:t>
        </m:r>
        <m:r>
          <m:t>o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10 billion milestone**, which would cut the go-forward interest run-rate to ~</w:t>
      </w:r>
      <m:oMath>
        <m:r>
          <m:t>845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/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(</m:t>
        </m:r>
        <m:r>
          <m:t> </m:t>
        </m:r>
      </m:oMath>
      <w:r>
        <w:t xml:space="preserve">550 million below 2025). Debt tender offers in February (upsized to $1.2 billion) and covenant amendments in early 2026 were part of this push. Watch for an updated debt figure and commentary on what comes after $10 billion is reached — options on the table include building cash ahead of the August 2029 preferred redemption, further debt paydown, or opportunistic buybacks.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Leadership transition.</w:t>
      </w:r>
      <w:r>
        <w:t xml:space="preserve"> </w:t>
      </w:r>
      <w:r>
        <w:t xml:space="preserve">CEO</w:t>
      </w:r>
      <w:r>
        <w:t xml:space="preserve"> </w:t>
      </w:r>
      <w:r>
        <w:rPr>
          <w:b/>
          <w:bCs/>
        </w:rPr>
        <w:t xml:space="preserve">Vicki Hollub retired effective June 1, 2026</w:t>
      </w:r>
      <w:r>
        <w:t xml:space="preserve">, handing the reins to</w:t>
      </w:r>
      <w:r>
        <w:t xml:space="preserve"> </w:t>
      </w:r>
      <w:r>
        <w:rPr>
          <w:b/>
          <w:bCs/>
        </w:rPr>
        <w:t xml:space="preserve">Richard Jackson</w:t>
      </w:r>
      <w:r>
        <w:t xml:space="preserve"> </w:t>
      </w:r>
      <w:r>
        <w:t xml:space="preserve">(previously COO), who was already leading strategic commentary on the Q1 call. This is effectively Jackson's first full quarter as CEO and his first earnings call in that seat — investors will be listening for continuity vs. any shifts in capital-allocation philosophy (Oxy has resisted a formulaic buyback program in favor of discretionary/opportunistic returns).</w:t>
      </w:r>
    </w:p>
    <w:p>
      <w:r>
        <w:pict>
          <v:rect style="width:0;height:1.5pt" o:hralign="center" o:hrstd="t" o:hr="t"/>
        </w:pict>
      </w:r>
    </w:p>
    <w:bookmarkEnd w:id="10"/>
    <w:bookmarkStart w:id="11" w:name="what-to-watch-in-the-print"/>
    <w:p>
      <w:pPr>
        <w:pStyle w:val="Heading2"/>
      </w:pPr>
      <w:r>
        <w:t xml:space="preserve">What to Watch in the Print</w:t>
      </w:r>
    </w:p>
    <w:p>
      <w:pPr>
        <w:pStyle w:val="FirstParagraph"/>
      </w:pPr>
      <w:r>
        <w:rPr>
          <w:b/>
          <w:bCs/>
        </w:rPr>
        <w:t xml:space="preserve">1. Production and segment guidance execution.</w:t>
      </w:r>
      <w:r>
        <w:t xml:space="preserve"> </w:t>
      </w:r>
      <w:r>
        <w:t xml:space="preserve">Q1 production of 1,426 Mboe/d beat the high end of guidance, and full-year guidance was raised to a</w:t>
      </w:r>
      <w:r>
        <w:t xml:space="preserve"> </w:t>
      </w:r>
      <w:r>
        <w:rPr>
          <w:b/>
          <w:bCs/>
        </w:rPr>
        <w:t xml:space="preserve">1.44 MMBoe/d midpoint</w:t>
      </w:r>
      <w:r>
        <w:t xml:space="preserve">. Q2 guidance flagged specific headwinds: Middle East disruptions at Al Hosn (expected to normalize by quarter-end), PSC entitlement effects from higher prices (which mechanically reduce reported international barrels), and a deliberate EOR portfolio optimization (trading scattered noncore fields for higher working interest in core floods) that trims volumes but is free-cash-flow accretive. Watch whether Al Hosn actually normalized and whether Permian/Gulf of America offset the EOR/Middle East drag as planned.</w:t>
      </w:r>
    </w:p>
    <w:p>
      <w:pPr>
        <w:pStyle w:val="BodyText"/>
      </w:pPr>
      <w:r>
        <w:rPr>
          <w:b/>
          <w:bCs/>
        </w:rPr>
        <w:t xml:space="preserve">2. Midstream &amp; Marketing strength.</w:t>
      </w:r>
      <w:r>
        <w:t xml:space="preserve"> </w:t>
      </w:r>
      <w:r>
        <w:t xml:space="preserve">Oxy raised full-year midstream guidance to a **</w:t>
      </w:r>
      <m:oMath>
        <m:r>
          <m:t>1.1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u</m:t>
        </m:r>
        <m:r>
          <m:t>p</m:t>
        </m:r>
        <m:r>
          <m:t> </m:t>
        </m:r>
      </m:oMath>
      <w:r>
        <w:t xml:space="preserve">800 million from prior guidance) on wide Waha-to-Gulf-Coast gas spreads and strong gas-marketing optimization. This segment has been a repeated source of upside surprises; confirm whether that strength persisted through Q2 and how sulfur-sales disruption from Middle East logistics played out (guidance assumed a hit here, with normalization expected in H2).</w:t>
      </w:r>
    </w:p>
    <w:p>
      <w:pPr>
        <w:pStyle w:val="BodyText"/>
      </w:pPr>
      <w:r>
        <w:rPr>
          <w:b/>
          <w:bCs/>
        </w:rPr>
        <w:t xml:space="preserve">3. Capital spending pace.</w:t>
      </w:r>
      <w:r>
        <w:t xml:space="preserve"> </w:t>
      </w:r>
      <w:r>
        <w:t xml:space="preserve">Full-year capex guidance remains $5.5–5.9 billion, with Q2 spending expected higher than Q1's $1.6 billion as activity is weighted to H1. Confirm the range holds given any service-cost inflation chatter (management said this wasn't pressuring the plan as of May).</w:t>
      </w:r>
    </w:p>
    <w:p>
      <w:pPr>
        <w:pStyle w:val="BodyText"/>
      </w:pPr>
      <w:r>
        <w:rPr>
          <w:b/>
          <w:bCs/>
        </w:rPr>
        <w:t xml:space="preserve">4. Hedging book and cash-flow mechanics.</w:t>
      </w:r>
      <w:r>
        <w:t xml:space="preserve"> </w:t>
      </w:r>
      <w:r>
        <w:t xml:space="preserve">Given the sharp WTI move above the ~$76 collar ceiling, investors should look for confirmation that Oxy has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added new hedges (as stated in May) and get color on how much further upside is being foregone if prices stay elevated through year-end (hedges run March–December 2026).</w:t>
      </w:r>
    </w:p>
    <w:p>
      <w:pPr>
        <w:pStyle w:val="BodyText"/>
      </w:pPr>
      <w:r>
        <w:rPr>
          <w:b/>
          <w:bCs/>
        </w:rPr>
        <w:t xml:space="preserve">5. STRATOS direct air capture update.</w:t>
      </w:r>
      <w:r>
        <w:t xml:space="preserve"> </w:t>
      </w:r>
      <w:r>
        <w:t xml:space="preserve">Phase 2 construction was completed and Phase 1 commissioning finished, but Oxy flagged a</w:t>
      </w:r>
      <w:r>
        <w:t xml:space="preserve"> </w:t>
      </w:r>
      <w:r>
        <w:rPr>
          <w:b/>
          <w:bCs/>
        </w:rPr>
        <w:t xml:space="preserve">non-process-related mechanical issue</w:t>
      </w:r>
      <w:r>
        <w:t xml:space="preserve"> </w:t>
      </w:r>
      <w:r>
        <w:t xml:space="preserve">discovered after commissioning and said it would provide a repair timeline/schedule update "next quarter" — i.e., on this call. Management said it doesn't expect this to affect the 2026 capital range, but any change to that stance, or a cost/timeline update, would be a notable LCV-segment datapoint.</w:t>
      </w:r>
    </w:p>
    <w:p>
      <w:pPr>
        <w:pStyle w:val="BodyText"/>
      </w:pPr>
      <w:r>
        <w:rPr>
          <w:b/>
          <w:bCs/>
        </w:rPr>
        <w:t xml:space="preserve">6. Capital returns and the post-$10B roadmap.</w:t>
      </w:r>
      <w:r>
        <w:t xml:space="preserve"> </w:t>
      </w:r>
      <w:r>
        <w:t xml:space="preserve">With oil prices well above plan and debt paydown ahead of schedule, this is the print where investors will push hardest on: dividend growth pace (the quarterly dividend was already raised &gt;8% to $0.26/share in Q4 2025, having doubled over four years), the size/timing of any buyback activity, and how much of the windfall from higher oil prices gets banked toward the balance sheet versus returned to shareholders.</w:t>
      </w:r>
    </w:p>
    <w:p>
      <w:pPr>
        <w:pStyle w:val="BodyText"/>
      </w:pPr>
      <w:r>
        <w:rPr>
          <w:b/>
          <w:bCs/>
        </w:rPr>
        <w:t xml:space="preserve">7. New CEO's framing.</w:t>
      </w:r>
      <w:r>
        <w:t xml:space="preserve"> </w:t>
      </w:r>
      <w:r>
        <w:t xml:space="preserve">Listen for how Richard Jackson frames capital priorities in his first quarter fully in the chair — particularly his prior comments about "measured reinvestment" once the macro is "clear," lowering base decline toward 20% via EOR/waterflood investment, and the 2026 target of</w:t>
      </w:r>
      <w:r>
        <w:t xml:space="preserve"> </w:t>
      </w:r>
      <w:r>
        <w:rPr>
          <w:b/>
          <w:bCs/>
        </w:rPr>
        <w:t xml:space="preserve">$1.2 billion+ of incremental free cash flow versus 2025</w:t>
      </w:r>
      <w:r>
        <w:t xml:space="preserve"> </w:t>
      </w:r>
      <w:r>
        <w:t xml:space="preserve">(before the benefit of higher prices) — a target that should now be significantly exceeded given the oil-price backdrop.</w:t>
      </w:r>
    </w:p>
    <w:p>
      <w:r>
        <w:pict>
          <v:rect style="width:0;height:1.5pt" o:hralign="center" o:hrstd="t" o:hr="t"/>
        </w:pict>
      </w:r>
    </w:p>
    <w:bookmarkEnd w:id="11"/>
    <w:bookmarkStart w:id="12" w:name="key-numbers-snapshot"/>
    <w:p>
      <w:pPr>
        <w:pStyle w:val="Heading2"/>
      </w:pPr>
      <w:r>
        <w:t xml:space="preserve">Key Numbers 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2026 (actual)</w:t>
            </w:r>
          </w:p>
        </w:tc>
        <w:tc>
          <w:tcPr/>
          <w:p>
            <w:pPr>
              <w:pStyle w:val="Compact"/>
            </w:pPr>
            <w:r>
              <w:t xml:space="preserve">Q2 2026 (pre-announced/consensus)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Avg. WTI</w:t>
            </w:r>
          </w:p>
        </w:tc>
        <w:tc>
          <w:tcPr/>
          <w:p>
            <w:pPr>
              <w:pStyle w:val="Compact"/>
            </w:pPr>
            <w:r>
              <w:t xml:space="preserve">$71.93/bbl</w:t>
            </w:r>
          </w:p>
        </w:tc>
        <w:tc>
          <w:tcPr/>
          <w:p>
            <w:pPr>
              <w:pStyle w:val="Compact"/>
            </w:pPr>
            <w:r>
              <w:t xml:space="preserve">$92.79/bbl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Avg. Brent</w:t>
            </w:r>
          </w:p>
        </w:tc>
        <w:tc>
          <w:tcPr/>
          <w:p>
            <w:pPr>
              <w:pStyle w:val="Compact"/>
            </w:pPr>
            <w:r>
              <w:t xml:space="preserve">$77.93/bbl</w:t>
            </w:r>
          </w:p>
        </w:tc>
        <w:tc>
          <w:tcPr/>
          <w:p>
            <w:pPr>
              <w:pStyle w:val="Compact"/>
            </w:pPr>
            <w:r>
              <w:t xml:space="preserve">$97.06/bbl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Worldwide realized oil price</w:t>
            </w:r>
          </w:p>
        </w:tc>
        <w:tc>
          <w:tcPr/>
          <w:p>
            <w:pPr>
              <w:pStyle w:val="Compact"/>
            </w:pPr>
            <w:r>
              <w:t xml:space="preserve">$69.91/bbl</w:t>
            </w:r>
          </w:p>
        </w:tc>
        <w:tc>
          <w:tcPr/>
          <w:p>
            <w:pPr>
              <w:pStyle w:val="Compact"/>
            </w:pPr>
            <w:r>
              <w:t xml:space="preserve">$96.78/bbl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(continuing ops)</w:t>
            </w:r>
          </w:p>
        </w:tc>
        <w:tc>
          <w:tcPr/>
          <w:p>
            <w:pPr>
              <w:pStyle w:val="Compact"/>
            </w:pPr>
            <w:r>
              <w:t xml:space="preserve">$1.06</w:t>
            </w:r>
          </w:p>
        </w:tc>
        <w:tc>
          <w:tcPr/>
          <w:p>
            <w:pPr>
              <w:pStyle w:val="Compact"/>
            </w:pPr>
            <w:r>
              <w:t xml:space="preserve">~$1.84 (consensus)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~$5.1B</w:t>
            </w:r>
          </w:p>
        </w:tc>
        <w:tc>
          <w:tcPr/>
          <w:p>
            <w:pPr>
              <w:pStyle w:val="Compact"/>
            </w:pPr>
            <w:r>
              <w:t xml:space="preserve">~$7.1B (consensus)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Principal debt</w:t>
            </w:r>
          </w:p>
        </w:tc>
        <w:tc>
          <w:tcPr/>
          <w:p>
            <w:pPr>
              <w:pStyle w:val="Compact"/>
            </w:pPr>
            <w:r>
              <w:t xml:space="preserve">$13.3B (as of May 5)</w:t>
            </w:r>
          </w:p>
        </w:tc>
        <w:tc>
          <w:tcPr/>
          <w:p>
            <w:pPr>
              <w:pStyle w:val="Compact"/>
            </w:pPr>
            <w:r>
              <w:t xml:space="preserve">Update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Production</w:t>
            </w:r>
          </w:p>
        </w:tc>
        <w:tc>
          <w:tcPr/>
          <w:p>
            <w:pPr>
              <w:pStyle w:val="Compact"/>
            </w:pPr>
            <w:r>
              <w:t xml:space="preserve">1,426 Mboe/d</w:t>
            </w:r>
          </w:p>
        </w:tc>
        <w:tc>
          <w:tcPr/>
          <w:p>
            <w:pPr>
              <w:pStyle w:val="Compact"/>
            </w:pPr>
            <w:r>
              <w:t xml:space="preserve">Guidance midpoint 1.44 MMBoe/d (FY)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Avg. diluted shares</w:t>
            </w:r>
          </w:p>
        </w:tc>
        <w:tc>
          <w:tcPr/>
          <w:p>
            <w:pPr>
              <w:pStyle w:val="Compact"/>
            </w:pPr>
            <w:r>
              <w:t xml:space="preserve">1,006.9M</w:t>
            </w:r>
          </w:p>
        </w:tc>
        <w:tc>
          <w:tcPr/>
          <w:p>
            <w:pPr>
              <w:pStyle w:val="Compact"/>
            </w:pPr>
            <w:r>
              <w:t xml:space="preserve">1,012.2M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a high-visibility print because Oxy is essentially operating a "beta" trade on the Iran conflict's oil-price impact layered on top of a genuine self-help deleveraging story. The setup favors a strong headline beat on adjusted EPS and cash flow given the ~38% sequential jump in realized oil prices, but the real swing factors for the stock reaction will be: (1) how much of that upside was clipped by the February hedges, (2) whether debt is tracking toward the $10 billion milestone on schedule, (3) any signal on capital-return escalation (buybacks/dividend) now that the balance sheet is materially de-risked, and (4) the tone new CEO Richard Jackson sets on reinvestment discipline versus opportunistic growth in a market this volatile.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2026-08-05T01:47:31Z</dcterms:created>
  <dcterms:modified xsi:type="dcterms:W3CDTF">2026-08-05T01:47:31Z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