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8b60042a4f927a354ab6cb9625acf31d8b0028"/>
    <w:p>
      <w:pPr>
        <w:pStyle w:val="Heading1"/>
      </w:pPr>
      <w:r>
        <w:t xml:space="preserve">Occidental Petroleum (OXY) — 2026 Q2 Earnings Preview</w:t>
      </w:r>
    </w:p>
    <w:p>
      <w:pPr>
        <w:pStyle w:val="BlockText"/>
      </w:pPr>
      <w:r>
        <w:rPr>
          <w:b/>
          <w:bCs/>
        </w:rPr>
        <w:t xml:space="preserve">Timing clarification:</w:t>
      </w:r>
      <w:r>
        <w:t xml:space="preserve"> </w:t>
      </w:r>
      <w:r>
        <w:t xml:space="preserve">Occidental is scheduled to release second-quarter results</w:t>
      </w:r>
      <w:r>
        <w:t xml:space="preserve"> </w:t>
      </w:r>
      <w:r>
        <w:rPr>
          <w:b/>
          <w:bCs/>
        </w:rPr>
        <w:t xml:space="preserve">after the market closes today, Wednesday, August 5, 2026</w:t>
      </w:r>
      <w:r>
        <w:t xml:space="preserve">. The earnings call is scheduled for</w:t>
      </w:r>
      <w:r>
        <w:t xml:space="preserve"> </w:t>
      </w:r>
      <w:r>
        <w:rPr>
          <w:b/>
          <w:bCs/>
        </w:rPr>
        <w:t xml:space="preserve">Thursday, August 6, at 1:00 p.m. Eastern</w:t>
      </w:r>
      <w:r>
        <w:t xml:space="preserve">.</w:t>
      </w:r>
    </w:p>
    <w:bookmarkStart w:id="9" w:name="investment-view-going-into-the-report"/>
    <w:p>
      <w:pPr>
        <w:pStyle w:val="Heading2"/>
      </w:pPr>
      <w:r>
        <w:t xml:space="preserve">Investment view going into the report</w:t>
      </w:r>
    </w:p>
    <w:p>
      <w:pPr>
        <w:pStyle w:val="FirstParagraph"/>
      </w:pPr>
      <w:r>
        <w:t xml:space="preserve">This should be a</w:t>
      </w:r>
      <w:r>
        <w:t xml:space="preserve"> </w:t>
      </w:r>
      <w:r>
        <w:rPr>
          <w:b/>
          <w:bCs/>
        </w:rPr>
        <w:t xml:space="preserve">very strong commodity-price quarter</w:t>
      </w:r>
      <w:r>
        <w:t xml:space="preserve">, but the headline earnings number may not tell the full story. Investors should concentrate on:</w:t>
      </w:r>
    </w:p>
    <w:p>
      <w:pPr>
        <w:pStyle w:val="Compact"/>
        <w:numPr>
          <w:ilvl w:val="0"/>
          <w:numId w:val="1001"/>
        </w:numPr>
      </w:pPr>
      <w:r>
        <w:t xml:space="preserve">How much of the oil-price windfall converted into free cash flow.</w:t>
      </w:r>
    </w:p>
    <w:p>
      <w:pPr>
        <w:pStyle w:val="Compact"/>
        <w:numPr>
          <w:ilvl w:val="0"/>
          <w:numId w:val="1001"/>
        </w:numPr>
      </w:pPr>
      <w:r>
        <w:t xml:space="preserve">Whether principal debt is approaching the</w:t>
      </w:r>
      <w:r>
        <w:t xml:space="preserve"> </w:t>
      </w:r>
      <w:r>
        <w:rPr>
          <w:b/>
          <w:bCs/>
        </w:rPr>
        <w:t xml:space="preserve">$10 billion milestone</w:t>
      </w:r>
      <w:r>
        <w:t xml:space="preserve">.</w:t>
      </w:r>
    </w:p>
    <w:p>
      <w:pPr>
        <w:pStyle w:val="Compact"/>
        <w:numPr>
          <w:ilvl w:val="0"/>
          <w:numId w:val="1001"/>
        </w:numPr>
      </w:pPr>
      <w:r>
        <w:t xml:space="preserve">Production performance amid Middle East disruptions and portfolio changes.</w:t>
      </w:r>
    </w:p>
    <w:p>
      <w:pPr>
        <w:pStyle w:val="Compact"/>
        <w:numPr>
          <w:ilvl w:val="0"/>
          <w:numId w:val="1001"/>
        </w:numPr>
      </w:pPr>
      <w:r>
        <w:t xml:space="preserve">Management’s capital-allocation plans once the debt target is reached.</w:t>
      </w:r>
    </w:p>
    <w:p>
      <w:pPr>
        <w:pStyle w:val="Compact"/>
        <w:numPr>
          <w:ilvl w:val="0"/>
          <w:numId w:val="1001"/>
        </w:numPr>
      </w:pPr>
      <w:r>
        <w:t xml:space="preserve">New CEO Richard Jackson’s strategy and the delayed STRATOS project update.</w:t>
      </w:r>
    </w:p>
    <w:p>
      <w:pPr>
        <w:pStyle w:val="FirstParagraph"/>
      </w:pPr>
      <w:r>
        <w:t xml:space="preserve">The central question is no longer whether Q2 benefited from higher oil prices—it clearly did. The question is whether Occidental used that benefit to accelerate its transition from a leveraged, event-driven equity into a company capable of sustained dividends and buybacks.</w:t>
      </w:r>
    </w:p>
    <w:p>
      <w:r>
        <w:pict>
          <v:rect style="width:0;height:1.5pt" o:hralign="center" o:hrstd="t" o:hr="t"/>
        </w:pict>
      </w:r>
    </w:p>
    <w:bookmarkEnd w:id="9"/>
    <w:bookmarkStart w:id="11" w:name="Xab371c5bbf0e6412b00765e3714c044d8bed0f4"/>
    <w:p>
      <w:pPr>
        <w:pStyle w:val="Heading2"/>
      </w:pPr>
      <w:r>
        <w:t xml:space="preserve">Q2’s commodity backdrop was exceptionally favorable—except for natural gas</w:t>
      </w:r>
    </w:p>
    <w:p>
      <w:pPr>
        <w:pStyle w:val="FirstParagraph"/>
      </w:pPr>
      <w:r>
        <w:t xml:space="preserve">Occidental has already disclosed its principal second-quarter price realizations: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2026 Q2</w:t>
            </w:r>
          </w:p>
        </w:tc>
        <w:tc>
          <w:tcPr/>
          <w:p>
            <w:pPr>
              <w:pStyle w:val="Compact"/>
              <w:jc w:val="right"/>
            </w:pPr>
            <w:r>
              <w:t xml:space="preserve">2026 Q1</w:t>
            </w:r>
          </w:p>
        </w:tc>
        <w:tc>
          <w:tcPr/>
          <w:p>
            <w:pPr>
              <w:pStyle w:val="Compact"/>
              <w:jc w:val="right"/>
            </w:pPr>
            <w:r>
              <w:t xml:space="preserve">Sequential change</w:t>
            </w:r>
          </w:p>
        </w:tc>
      </w:tr>
      <w:tr>
        <w:tc>
          <w:tcPr/>
          <w:p>
            <w:pPr>
              <w:pStyle w:val="Compact"/>
            </w:pPr>
            <w:r>
              <w:t xml:space="preserve">Average WTI</w:t>
            </w:r>
          </w:p>
        </w:tc>
        <w:tc>
          <w:tcPr/>
          <w:p>
            <w:pPr>
              <w:pStyle w:val="Compact"/>
              <w:jc w:val="right"/>
            </w:pPr>
            <w:r>
              <w:t xml:space="preserve">$92.79/bbl</w:t>
            </w:r>
          </w:p>
        </w:tc>
        <w:tc>
          <w:tcPr/>
          <w:p>
            <w:pPr>
              <w:pStyle w:val="Compact"/>
              <w:jc w:val="right"/>
            </w:pPr>
            <w:r>
              <w:t xml:space="preserve">$71.93/bbl</w:t>
            </w:r>
          </w:p>
        </w:tc>
        <w:tc>
          <w:tcPr/>
          <w:p>
            <w:pPr>
              <w:pStyle w:val="Compact"/>
              <w:jc w:val="right"/>
            </w:pPr>
            <w:r>
              <w:t xml:space="preserve">+29%</w:t>
            </w:r>
          </w:p>
        </w:tc>
      </w:tr>
      <w:tr>
        <w:tc>
          <w:tcPr/>
          <w:p>
            <w:pPr>
              <w:pStyle w:val="Compact"/>
            </w:pPr>
            <w:r>
              <w:t xml:space="preserve">Worldwide realized oil</w:t>
            </w:r>
          </w:p>
        </w:tc>
        <w:tc>
          <w:tcPr/>
          <w:p>
            <w:pPr>
              <w:pStyle w:val="Compact"/>
              <w:jc w:val="right"/>
            </w:pPr>
            <w:r>
              <w:t xml:space="preserve">$96.78/bbl</w:t>
            </w:r>
          </w:p>
        </w:tc>
        <w:tc>
          <w:tcPr/>
          <w:p>
            <w:pPr>
              <w:pStyle w:val="Compact"/>
              <w:jc w:val="right"/>
            </w:pPr>
            <w:r>
              <w:t xml:space="preserve">$69.91/bbl</w:t>
            </w:r>
          </w:p>
        </w:tc>
        <w:tc>
          <w:tcPr/>
          <w:p>
            <w:pPr>
              <w:pStyle w:val="Compact"/>
              <w:jc w:val="right"/>
            </w:pPr>
            <w:r>
              <w:t xml:space="preserve">+38%</w:t>
            </w:r>
          </w:p>
        </w:tc>
      </w:tr>
      <w:tr>
        <w:tc>
          <w:tcPr/>
          <w:p>
            <w:pPr>
              <w:pStyle w:val="Compact"/>
            </w:pPr>
            <w:r>
              <w:t xml:space="preserve">Worldwide realized NGL</w:t>
            </w:r>
          </w:p>
        </w:tc>
        <w:tc>
          <w:tcPr/>
          <w:p>
            <w:pPr>
              <w:pStyle w:val="Compact"/>
              <w:jc w:val="right"/>
            </w:pPr>
            <w:r>
              <w:t xml:space="preserve">$24.64/bbl</w:t>
            </w:r>
          </w:p>
        </w:tc>
        <w:tc>
          <w:tcPr/>
          <w:p>
            <w:pPr>
              <w:pStyle w:val="Compact"/>
              <w:jc w:val="right"/>
            </w:pPr>
            <w:r>
              <w:t xml:space="preserve">$18.99/bbl</w:t>
            </w:r>
          </w:p>
        </w:tc>
        <w:tc>
          <w:tcPr/>
          <w:p>
            <w:pPr>
              <w:pStyle w:val="Compact"/>
              <w:jc w:val="right"/>
            </w:pPr>
            <w:r>
              <w:t xml:space="preserve">+30%</w:t>
            </w:r>
          </w:p>
        </w:tc>
      </w:tr>
      <w:tr>
        <w:tc>
          <w:tcPr/>
          <w:p>
            <w:pPr>
              <w:pStyle w:val="Compact"/>
            </w:pPr>
            <w:r>
              <w:t xml:space="preserve">Domestic realized natural gas</w:t>
            </w:r>
          </w:p>
        </w:tc>
        <w:tc>
          <w:tcPr/>
          <w:p>
            <w:pPr>
              <w:pStyle w:val="Compact"/>
              <w:jc w:val="right"/>
            </w:pPr>
            <w:r>
              <w:rPr>
                <w:b/>
                <w:bCs/>
              </w:rPr>
              <w:t xml:space="preserve">$(1.48)/Mcf</w:t>
            </w:r>
          </w:p>
        </w:tc>
        <w:tc>
          <w:tcPr/>
          <w:p>
            <w:pPr>
              <w:pStyle w:val="Compact"/>
              <w:jc w:val="right"/>
            </w:pPr>
            <w:r>
              <w:t xml:space="preserve">$1.01/Mcf</w:t>
            </w:r>
          </w:p>
        </w:tc>
        <w:tc>
          <w:tcPr/>
          <w:p>
            <w:pPr>
              <w:pStyle w:val="Compact"/>
              <w:jc w:val="right"/>
            </w:pPr>
            <w:r>
              <w:t xml:space="preserve">Material deterioration</w:t>
            </w:r>
          </w:p>
        </w:tc>
      </w:tr>
      <w:tr>
        <w:tc>
          <w:tcPr/>
          <w:p>
            <w:pPr>
              <w:pStyle w:val="Compact"/>
            </w:pPr>
            <w:r>
              <w:t xml:space="preserve">Worldwide realized natural gas</w:t>
            </w:r>
          </w:p>
        </w:tc>
        <w:tc>
          <w:tcPr/>
          <w:p>
            <w:pPr>
              <w:pStyle w:val="Compact"/>
              <w:jc w:val="right"/>
            </w:pPr>
            <w:r>
              <w:rPr>
                <w:b/>
                <w:bCs/>
              </w:rPr>
              <w:t xml:space="preserve">$(0.80)/Mcf</w:t>
            </w:r>
          </w:p>
        </w:tc>
        <w:tc>
          <w:tcPr/>
          <w:p>
            <w:pPr>
              <w:pStyle w:val="Compact"/>
              <w:jc w:val="right"/>
            </w:pPr>
            <w:r>
              <w:t xml:space="preserve">$1.20/Mcf</w:t>
            </w:r>
          </w:p>
        </w:tc>
        <w:tc>
          <w:tcPr/>
          <w:p>
            <w:pPr>
              <w:pStyle w:val="Compact"/>
              <w:jc w:val="right"/>
            </w:pPr>
            <w:r>
              <w:t xml:space="preserve">Material deterioration</w:t>
            </w:r>
          </w:p>
        </w:tc>
      </w:tr>
    </w:tbl>
    <w:p>
      <w:pPr>
        <w:pStyle w:val="BodyText"/>
      </w:pPr>
      <w:r>
        <w:t xml:space="preserve">Oil is by far the more important driver. Assuming production was reasonably close to plan, the nearly $27-per-barrel sequential increase in worldwide oil realization should produce a substantial increase in upstream earnings and cash flow.</w:t>
      </w:r>
    </w:p>
    <w:p>
      <w:pPr>
        <w:pStyle w:val="BodyText"/>
      </w:pPr>
      <w:r>
        <w:t xml:space="preserve">There are two important offsets:</w:t>
      </w:r>
    </w:p>
    <w:p>
      <w:pPr>
        <w:pStyle w:val="Compact"/>
        <w:numPr>
          <w:ilvl w:val="0"/>
          <w:numId w:val="1002"/>
        </w:numPr>
      </w:pPr>
      <w:r>
        <w:t xml:space="preserve">Occidental disclosed that settlements on crude-oil collars reduced Q2 operating cash flow before working capital by</w:t>
      </w:r>
      <w:r>
        <w:t xml:space="preserve"> </w:t>
      </w:r>
      <w:r>
        <w:rPr>
          <w:b/>
          <w:bCs/>
        </w:rPr>
        <w:t xml:space="preserve">$156 million</w:t>
      </w:r>
      <w:r>
        <w:t xml:space="preserve">.</w:t>
      </w:r>
    </w:p>
    <w:p>
      <w:pPr>
        <w:pStyle w:val="Compact"/>
        <w:numPr>
          <w:ilvl w:val="0"/>
          <w:numId w:val="1002"/>
        </w:numPr>
      </w:pPr>
      <w:r>
        <w:t xml:space="preserve">Negative Permian gas realizations likely created a drag on domestic upstream results, even though gas-marketing optimization may have allowed the Midstream segment to capture some of the same regional price dislocation.</w:t>
      </w:r>
    </w:p>
    <w:p>
      <w:pPr>
        <w:pStyle w:val="FirstParagraph"/>
      </w:pPr>
      <w:r>
        <w:t xml:space="preserve">The collars cover 100,000 barrels per day through December 2026, with a $55 WTI floor and a volume-weighted average ceiling near $76. Because the hedged volume represents only a minority of Occidental’s oil production, the company should still retain substantial exposure to Q2’s higher prices.</w:t>
      </w:r>
    </w:p>
    <w:bookmarkStart w:id="10" w:name="what-to-watch"/>
    <w:p>
      <w:pPr>
        <w:pStyle w:val="Heading3"/>
      </w:pPr>
      <w:r>
        <w:t xml:space="preserve">What to watch</w:t>
      </w:r>
    </w:p>
    <w:p>
      <w:pPr>
        <w:pStyle w:val="FirstParagraph"/>
      </w:pPr>
      <w:r>
        <w:t xml:space="preserve">A high-quality result would show that stronger oil realizations flowed efficiently into:</w:t>
      </w:r>
    </w:p>
    <w:p>
      <w:pPr>
        <w:pStyle w:val="Compact"/>
        <w:numPr>
          <w:ilvl w:val="0"/>
          <w:numId w:val="1003"/>
        </w:numPr>
      </w:pPr>
      <w:r>
        <w:t xml:space="preserve">Operating cash flow before working capital.</w:t>
      </w:r>
    </w:p>
    <w:p>
      <w:pPr>
        <w:pStyle w:val="Compact"/>
        <w:numPr>
          <w:ilvl w:val="0"/>
          <w:numId w:val="1003"/>
        </w:numPr>
      </w:pPr>
      <w:r>
        <w:t xml:space="preserve">Free cash flow before working capital.</w:t>
      </w:r>
    </w:p>
    <w:p>
      <w:pPr>
        <w:pStyle w:val="Compact"/>
        <w:numPr>
          <w:ilvl w:val="0"/>
          <w:numId w:val="1003"/>
        </w:numPr>
      </w:pPr>
      <w:r>
        <w:t xml:space="preserve">Lower principal debt.</w:t>
      </w:r>
    </w:p>
    <w:p>
      <w:pPr>
        <w:pStyle w:val="FirstParagraph"/>
      </w:pPr>
      <w:r>
        <w:t xml:space="preserve">Investors should distinguish those measures from reported operating cash flow, which may be affected by commodity-driven receivable movements and other working-capital timing.</w:t>
      </w:r>
    </w:p>
    <w:p>
      <w:r>
        <w:pict>
          <v:rect style="width:0;height:1.5pt" o:hralign="center" o:hrstd="t" o:hr="t"/>
        </w:pict>
      </w:r>
    </w:p>
    <w:bookmarkEnd w:id="10"/>
    <w:bookmarkEnd w:id="11"/>
    <w:bookmarkStart w:id="12" w:name="X4a6897a7e14c4b4a1d5c3a7539e3cc80be37b6e"/>
    <w:p>
      <w:pPr>
        <w:pStyle w:val="Heading2"/>
      </w:pPr>
      <w:r>
        <w:t xml:space="preserve">Balance-sheet progress is the most important number</w:t>
      </w:r>
    </w:p>
    <w:p>
      <w:pPr>
        <w:pStyle w:val="FirstParagraph"/>
      </w:pPr>
      <w:r>
        <w:t xml:space="preserve">Occidental entered Q2 having transformed its balance sheet through the OxyChem sale and subsequent debt repayments. As of May 5:</w:t>
      </w:r>
    </w:p>
    <w:p>
      <w:pPr>
        <w:pStyle w:val="Compact"/>
        <w:numPr>
          <w:ilvl w:val="0"/>
          <w:numId w:val="1004"/>
        </w:numPr>
      </w:pPr>
      <w:r>
        <w:t xml:space="preserve">Principal debt stood at</w:t>
      </w:r>
      <w:r>
        <w:t xml:space="preserve"> </w:t>
      </w:r>
      <w:r>
        <w:rPr>
          <w:b/>
          <w:bCs/>
        </w:rPr>
        <w:t xml:space="preserve">$13.3 billion</w:t>
      </w:r>
      <w:r>
        <w:t xml:space="preserve">.</w:t>
      </w:r>
    </w:p>
    <w:p>
      <w:pPr>
        <w:pStyle w:val="Compact"/>
        <w:numPr>
          <w:ilvl w:val="0"/>
          <w:numId w:val="1004"/>
        </w:numPr>
      </w:pPr>
      <w:r>
        <w:t xml:space="preserve">The company had repaid</w:t>
      </w:r>
      <w:r>
        <w:t xml:space="preserve"> </w:t>
      </w:r>
      <w:r>
        <w:rPr>
          <w:b/>
          <w:bCs/>
        </w:rPr>
        <w:t xml:space="preserve">$7.1 billion</w:t>
      </w:r>
      <w:r>
        <w:t xml:space="preserve"> </w:t>
      </w:r>
      <w:r>
        <w:t xml:space="preserve">of principal debt during 2026.</w:t>
      </w:r>
    </w:p>
    <w:p>
      <w:pPr>
        <w:pStyle w:val="Compact"/>
        <w:numPr>
          <w:ilvl w:val="0"/>
          <w:numId w:val="1004"/>
        </w:numPr>
      </w:pPr>
      <w:r>
        <w:t xml:space="preserve">The next formal milestone was</w:t>
      </w:r>
      <w:r>
        <w:t xml:space="preserve"> </w:t>
      </w:r>
      <w:r>
        <w:rPr>
          <w:b/>
          <w:bCs/>
        </w:rPr>
        <w:t xml:space="preserve">$10 billion</w:t>
      </w:r>
      <w:r>
        <w:t xml:space="preserve">.</w:t>
      </w:r>
    </w:p>
    <w:p>
      <w:pPr>
        <w:pStyle w:val="Compact"/>
        <w:numPr>
          <w:ilvl w:val="0"/>
          <w:numId w:val="1004"/>
        </w:numPr>
      </w:pPr>
      <w:r>
        <w:t xml:space="preserve">Annualized cash interest had fallen to approximately</w:t>
      </w:r>
      <w:r>
        <w:t xml:space="preserve"> </w:t>
      </w:r>
      <w:r>
        <w:rPr>
          <w:b/>
          <w:bCs/>
        </w:rPr>
        <w:t xml:space="preserve">$845 million</w:t>
      </w:r>
      <w:r>
        <w:t xml:space="preserve">, around $550 million below 2025’s interest expense.</w:t>
      </w:r>
    </w:p>
    <w:p>
      <w:pPr>
        <w:pStyle w:val="Compact"/>
        <w:numPr>
          <w:ilvl w:val="0"/>
          <w:numId w:val="1004"/>
        </w:numPr>
      </w:pPr>
      <w:r>
        <w:t xml:space="preserve">Only approximately $415 million of debt was due through the end of 2029.</w:t>
      </w:r>
    </w:p>
    <w:p>
      <w:pPr>
        <w:pStyle w:val="FirstParagraph"/>
      </w:pPr>
      <w:r>
        <w:t xml:space="preserve">Given Q2’s oil realizations, investors will likely expect meaningful additional debt reduction. The key questions are:</w:t>
      </w:r>
    </w:p>
    <w:p>
      <w:pPr>
        <w:pStyle w:val="Compact"/>
        <w:numPr>
          <w:ilvl w:val="0"/>
          <w:numId w:val="1005"/>
        </w:numPr>
      </w:pPr>
      <w:r>
        <w:rPr>
          <w:b/>
          <w:bCs/>
        </w:rPr>
        <w:t xml:space="preserve">How close is principal debt to $10 billion?</w:t>
      </w:r>
    </w:p>
    <w:p>
      <w:pPr>
        <w:pStyle w:val="Compact"/>
        <w:numPr>
          <w:ilvl w:val="0"/>
          <w:numId w:val="1005"/>
        </w:numPr>
      </w:pPr>
      <w:r>
        <w:rPr>
          <w:b/>
          <w:bCs/>
        </w:rPr>
        <w:t xml:space="preserve">Can the company reach or surpass the target during the second half without relying on another major divestiture?</w:t>
      </w:r>
    </w:p>
    <w:p>
      <w:pPr>
        <w:pStyle w:val="Compact"/>
        <w:numPr>
          <w:ilvl w:val="0"/>
          <w:numId w:val="1005"/>
        </w:numPr>
      </w:pPr>
      <w:r>
        <w:rPr>
          <w:b/>
          <w:bCs/>
        </w:rPr>
        <w:t xml:space="preserve">What happens to incremental cash after the milestone?</w:t>
      </w:r>
    </w:p>
    <w:p>
      <w:pPr>
        <w:pStyle w:val="FirstParagraph"/>
      </w:pPr>
      <w:r>
        <w:t xml:space="preserve">Management previously identified four potential uses once debt reaches $10 billion:</w:t>
      </w:r>
    </w:p>
    <w:p>
      <w:pPr>
        <w:pStyle w:val="Compact"/>
        <w:numPr>
          <w:ilvl w:val="0"/>
          <w:numId w:val="1006"/>
        </w:numPr>
      </w:pPr>
      <w:r>
        <w:t xml:space="preserve">Accumulating cash for the potential redemption of Berkshire Hathaway’s preferred stock in August 2029.</w:t>
      </w:r>
    </w:p>
    <w:p>
      <w:pPr>
        <w:pStyle w:val="Compact"/>
        <w:numPr>
          <w:ilvl w:val="0"/>
          <w:numId w:val="1006"/>
        </w:numPr>
      </w:pPr>
      <w:r>
        <w:t xml:space="preserve">Reducing principal debt below $10 billion.</w:t>
      </w:r>
    </w:p>
    <w:p>
      <w:pPr>
        <w:pStyle w:val="Compact"/>
        <w:numPr>
          <w:ilvl w:val="0"/>
          <w:numId w:val="1006"/>
        </w:numPr>
      </w:pPr>
      <w:r>
        <w:t xml:space="preserve">Opportunistic common-stock repurchases.</w:t>
      </w:r>
    </w:p>
    <w:p>
      <w:pPr>
        <w:pStyle w:val="Compact"/>
        <w:numPr>
          <w:ilvl w:val="0"/>
          <w:numId w:val="1006"/>
        </w:numPr>
      </w:pPr>
      <w:r>
        <w:t xml:space="preserve">Measured reinvestment if commodity conditions support it.</w:t>
      </w:r>
    </w:p>
    <w:p>
      <w:pPr>
        <w:pStyle w:val="FirstParagraph"/>
      </w:pPr>
      <w:r>
        <w:t xml:space="preserve">A result that brings debt close to $10 billion—but does not provide a clearer post-target capital framework—could leave investors wanting more. Conversely, a firm commitment to prioritize buybacks or preferred-stock funding after reaching the target could be a meaningful positive catalyst.</w:t>
      </w:r>
    </w:p>
    <w:p>
      <w:r>
        <w:pict>
          <v:rect style="width:0;height:1.5pt" o:hralign="center" o:hrstd="t" o:hr="t"/>
        </w:pict>
      </w:r>
    </w:p>
    <w:bookmarkEnd w:id="12"/>
    <w:bookmarkStart w:id="14" w:name="X7b21117e92911e36344e845a67535735d30e019"/>
    <w:p>
      <w:pPr>
        <w:pStyle w:val="Heading2"/>
      </w:pPr>
      <w:r>
        <w:t xml:space="preserve">Production execution may matter more than the EPS “beat”</w:t>
      </w:r>
    </w:p>
    <w:p>
      <w:pPr>
        <w:pStyle w:val="FirstParagraph"/>
      </w:pPr>
      <w:r>
        <w:t xml:space="preserve">Occidental produced</w:t>
      </w:r>
      <w:r>
        <w:t xml:space="preserve"> </w:t>
      </w:r>
      <w:r>
        <w:rPr>
          <w:b/>
          <w:bCs/>
        </w:rPr>
        <w:t xml:space="preserve">1.426 million barrels of oil equivalent per day</w:t>
      </w:r>
      <w:r>
        <w:t xml:space="preserve"> </w:t>
      </w:r>
      <w:r>
        <w:t xml:space="preserve">in Q1, above the high end of guidance. Management subsequently adjusted the full-year production midpoint to approximately</w:t>
      </w:r>
      <w:r>
        <w:t xml:space="preserve"> </w:t>
      </w:r>
      <w:r>
        <w:rPr>
          <w:b/>
          <w:bCs/>
        </w:rPr>
        <w:t xml:space="preserve">1.44 million BOE per day</w:t>
      </w:r>
      <w:r>
        <w:t xml:space="preserve">, reflecting:</w:t>
      </w:r>
    </w:p>
    <w:p>
      <w:pPr>
        <w:pStyle w:val="Compact"/>
        <w:numPr>
          <w:ilvl w:val="0"/>
          <w:numId w:val="1007"/>
        </w:numPr>
      </w:pPr>
      <w:r>
        <w:t xml:space="preserve">Operational constraints at Al Hosn.</w:t>
      </w:r>
    </w:p>
    <w:p>
      <w:pPr>
        <w:pStyle w:val="Compact"/>
        <w:numPr>
          <w:ilvl w:val="0"/>
          <w:numId w:val="1007"/>
        </w:numPr>
      </w:pPr>
      <w:r>
        <w:t xml:space="preserve">Lower net volumes under international production-sharing contracts as oil prices rose.</w:t>
      </w:r>
    </w:p>
    <w:p>
      <w:pPr>
        <w:pStyle w:val="Compact"/>
        <w:numPr>
          <w:ilvl w:val="0"/>
          <w:numId w:val="1007"/>
        </w:numPr>
      </w:pPr>
      <w:r>
        <w:t xml:space="preserve">EOR portfolio optimization transactions.</w:t>
      </w:r>
    </w:p>
    <w:p>
      <w:pPr>
        <w:pStyle w:val="Compact"/>
        <w:numPr>
          <w:ilvl w:val="0"/>
          <w:numId w:val="1007"/>
        </w:numPr>
      </w:pPr>
      <w:r>
        <w:t xml:space="preserve">Planned Gulf of America maintenance and tropical-weather risk.</w:t>
      </w:r>
    </w:p>
    <w:p>
      <w:pPr>
        <w:pStyle w:val="Compact"/>
        <w:numPr>
          <w:ilvl w:val="0"/>
          <w:numId w:val="1007"/>
        </w:numPr>
      </w:pPr>
      <w:r>
        <w:t xml:space="preserve">Continued strength in U.S. onshore operations.</w:t>
      </w:r>
    </w:p>
    <w:p>
      <w:pPr>
        <w:pStyle w:val="FirstParagraph"/>
      </w:pPr>
      <w:r>
        <w:t xml:space="preserve">The EOR transactions lowered reported volumes but were described as free-cash-flow accretive, concentrating Occidental’s ownership in higher-margin, more oil-weighted operated assets while reducing operating costs.</w:t>
      </w:r>
    </w:p>
    <w:bookmarkStart w:id="13" w:name="a-good-production-result-would-include"/>
    <w:p>
      <w:pPr>
        <w:pStyle w:val="Heading3"/>
      </w:pPr>
      <w:r>
        <w:t xml:space="preserve">A good production result would include</w:t>
      </w:r>
    </w:p>
    <w:p>
      <w:pPr>
        <w:pStyle w:val="Compact"/>
        <w:numPr>
          <w:ilvl w:val="0"/>
          <w:numId w:val="1008"/>
        </w:numPr>
      </w:pPr>
      <w:r>
        <w:t xml:space="preserve">Continued Permian unconventional growth.</w:t>
      </w:r>
    </w:p>
    <w:p>
      <w:pPr>
        <w:pStyle w:val="Compact"/>
        <w:numPr>
          <w:ilvl w:val="0"/>
          <w:numId w:val="1008"/>
        </w:numPr>
      </w:pPr>
      <w:r>
        <w:t xml:space="preserve">Resilient base production and well performance.</w:t>
      </w:r>
    </w:p>
    <w:p>
      <w:pPr>
        <w:pStyle w:val="Compact"/>
        <w:numPr>
          <w:ilvl w:val="0"/>
          <w:numId w:val="1008"/>
        </w:numPr>
      </w:pPr>
      <w:r>
        <w:t xml:space="preserve">Limited additional deterioration in Middle East volumes.</w:t>
      </w:r>
    </w:p>
    <w:p>
      <w:pPr>
        <w:pStyle w:val="Compact"/>
        <w:numPr>
          <w:ilvl w:val="0"/>
          <w:numId w:val="1008"/>
        </w:numPr>
      </w:pPr>
      <w:r>
        <w:t xml:space="preserve">Gulf of America performance consistent with planned maintenance.</w:t>
      </w:r>
    </w:p>
    <w:p>
      <w:pPr>
        <w:pStyle w:val="Compact"/>
        <w:numPr>
          <w:ilvl w:val="0"/>
          <w:numId w:val="1008"/>
        </w:numPr>
      </w:pPr>
      <w:r>
        <w:t xml:space="preserve">No further reduction to full-year guidance.</w:t>
      </w:r>
    </w:p>
    <w:p>
      <w:pPr>
        <w:pStyle w:val="FirstParagraph"/>
      </w:pPr>
      <w:r>
        <w:t xml:space="preserve">A modest production miss may be forgivable if it stems from production-sharing-contract mechanics at higher oil prices or deliberate portfolio optimization. A miss caused by weaker U.S. execution would be more concerning.</w:t>
      </w:r>
    </w:p>
    <w:p>
      <w:r>
        <w:pict>
          <v:rect style="width:0;height:1.5pt" o:hralign="center" o:hrstd="t" o:hr="t"/>
        </w:pict>
      </w:r>
    </w:p>
    <w:bookmarkEnd w:id="13"/>
    <w:bookmarkEnd w:id="14"/>
    <w:bookmarkStart w:id="15" w:name="Xcb1baeb24d3357078a393e0988a2c2b717c7936"/>
    <w:p>
      <w:pPr>
        <w:pStyle w:val="Heading2"/>
      </w:pPr>
      <w:r>
        <w:t xml:space="preserve">Midstream could again be a major swing factor</w:t>
      </w:r>
    </w:p>
    <w:p>
      <w:pPr>
        <w:pStyle w:val="FirstParagraph"/>
      </w:pPr>
      <w:r>
        <w:t xml:space="preserve">Occidental’s Midstream and Marketing business substantially exceeded expectations in Q1, benefiting from:</w:t>
      </w:r>
    </w:p>
    <w:p>
      <w:pPr>
        <w:pStyle w:val="Compact"/>
        <w:numPr>
          <w:ilvl w:val="0"/>
          <w:numId w:val="1009"/>
        </w:numPr>
      </w:pPr>
      <w:r>
        <w:t xml:space="preserve">Natural-gas marketing optimization.</w:t>
      </w:r>
    </w:p>
    <w:p>
      <w:pPr>
        <w:pStyle w:val="Compact"/>
        <w:numPr>
          <w:ilvl w:val="0"/>
          <w:numId w:val="1009"/>
        </w:numPr>
      </w:pPr>
      <w:r>
        <w:t xml:space="preserve">Wide Waha-to-Gulf Coast gas differentials.</w:t>
      </w:r>
    </w:p>
    <w:p>
      <w:pPr>
        <w:pStyle w:val="Compact"/>
        <w:numPr>
          <w:ilvl w:val="0"/>
          <w:numId w:val="1009"/>
        </w:numPr>
      </w:pPr>
      <w:r>
        <w:t xml:space="preserve">Crude-marketing timing effects.</w:t>
      </w:r>
    </w:p>
    <w:p>
      <w:pPr>
        <w:pStyle w:val="Compact"/>
        <w:numPr>
          <w:ilvl w:val="0"/>
          <w:numId w:val="1009"/>
        </w:numPr>
      </w:pPr>
      <w:r>
        <w:t xml:space="preserve">Higher sulfur prices at Al Hosn.</w:t>
      </w:r>
    </w:p>
    <w:p>
      <w:pPr>
        <w:pStyle w:val="FirstParagraph"/>
      </w:pPr>
      <w:r>
        <w:t xml:space="preserve">Management raised the midpoint of full-year Midstream guidance by approximately</w:t>
      </w:r>
      <w:r>
        <w:t xml:space="preserve"> </w:t>
      </w:r>
      <m:oMath>
        <m:r>
          <m:t>800</m:t>
        </m:r>
        <m:r>
          <m:t>m</m:t>
        </m:r>
        <m:r>
          <m:t>i</m:t>
        </m:r>
        <m:r>
          <m:t>l</m:t>
        </m:r>
        <m:r>
          <m:t>l</m:t>
        </m:r>
        <m:r>
          <m:t>i</m:t>
        </m:r>
        <m:r>
          <m:t>o</m:t>
        </m:r>
        <m:r>
          <m:t>n</m:t>
        </m:r>
        <m:r>
          <m:rPr>
            <m:sty m:val="p"/>
          </m:rPr>
          <m:t>*</m:t>
        </m:r>
        <m:r>
          <m:rPr>
            <m:sty m:val="p"/>
          </m:rPr>
          <m:t>*</m:t>
        </m:r>
        <m:r>
          <m:rPr>
            <m:sty m:val="p"/>
          </m:rPr>
          <m:t>,</m:t>
        </m:r>
        <m:r>
          <m:t>t</m:t>
        </m:r>
        <m:r>
          <m:t>o</m:t>
        </m:r>
        <m:r>
          <m:rPr>
            <m:sty m:val="p"/>
          </m:rPr>
          <m:t>*</m:t>
        </m:r>
        <m:r>
          <m:rPr>
            <m:sty m:val="p"/>
          </m:rPr>
          <m:t>*</m:t>
        </m:r>
      </m:oMath>
      <w:r>
        <w:rPr>
          <w:b/>
          <w:bCs/>
        </w:rPr>
        <w:t xml:space="preserve">1.1 billion of pre-tax income</w:t>
      </w:r>
      <w:r>
        <w:t xml:space="preserve">.</w:t>
      </w:r>
    </w:p>
    <w:p>
      <w:pPr>
        <w:pStyle w:val="BodyText"/>
      </w:pPr>
      <w:r>
        <w:t xml:space="preserve">Q2’s deeply negative domestic gas realization is therefore a two-sided issue:</w:t>
      </w:r>
    </w:p>
    <w:p>
      <w:pPr>
        <w:pStyle w:val="Compact"/>
        <w:numPr>
          <w:ilvl w:val="0"/>
          <w:numId w:val="1010"/>
        </w:numPr>
      </w:pPr>
      <w:r>
        <w:t xml:space="preserve">It hurts upstream gas revenue.</w:t>
      </w:r>
    </w:p>
    <w:p>
      <w:pPr>
        <w:pStyle w:val="Compact"/>
        <w:numPr>
          <w:ilvl w:val="0"/>
          <w:numId w:val="1010"/>
        </w:numPr>
      </w:pPr>
      <w:r>
        <w:t xml:space="preserve">It may create profitable marketing and transportation opportunities within Midstream.</w:t>
      </w:r>
    </w:p>
    <w:p>
      <w:pPr>
        <w:pStyle w:val="FirstParagraph"/>
      </w:pPr>
      <w:r>
        <w:t xml:space="preserve">Investors should look at the combined effect rather than treating the negative upstream gas price in isolation. The biggest questions are whether Midstream again exceeded guidance and whether management believes those benefits will persist after new Permian pipeline capacity narrows regional gas differentials.</w:t>
      </w:r>
    </w:p>
    <w:p>
      <w:r>
        <w:pict>
          <v:rect style="width:0;height:1.5pt" o:hralign="center" o:hrstd="t" o:hr="t"/>
        </w:pict>
      </w:r>
    </w:p>
    <w:bookmarkEnd w:id="15"/>
    <w:bookmarkStart w:id="16" w:name="X16eaad57b9c6a27736d28be701d074d569d7701"/>
    <w:p>
      <w:pPr>
        <w:pStyle w:val="Heading2"/>
      </w:pPr>
      <w:r>
        <w:t xml:space="preserve">Cost control and capital efficiency need to remain intact</w:t>
      </w:r>
    </w:p>
    <w:p>
      <w:pPr>
        <w:pStyle w:val="FirstParagraph"/>
      </w:pPr>
      <w:r>
        <w:t xml:space="preserve">Management entered the quarter targeting:</w:t>
      </w:r>
    </w:p>
    <w:p>
      <w:pPr>
        <w:pStyle w:val="Compact"/>
        <w:numPr>
          <w:ilvl w:val="0"/>
          <w:numId w:val="1011"/>
        </w:numPr>
      </w:pPr>
      <w:r>
        <w:t xml:space="preserve">Approximately</w:t>
      </w:r>
      <w:r>
        <w:t xml:space="preserve"> </w:t>
      </w:r>
      <w:r>
        <w:rPr>
          <w:b/>
          <w:bCs/>
        </w:rPr>
        <w:t xml:space="preserve">$500 million</w:t>
      </w:r>
      <w:r>
        <w:t xml:space="preserve"> </w:t>
      </w:r>
      <w:r>
        <w:t xml:space="preserve">of additional oil-and-gas cost savings in 2026.</w:t>
      </w:r>
    </w:p>
    <w:p>
      <w:pPr>
        <w:pStyle w:val="Compact"/>
        <w:numPr>
          <w:ilvl w:val="0"/>
          <w:numId w:val="1011"/>
        </w:numPr>
      </w:pPr>
      <w:r>
        <w:t xml:space="preserve">Roughly</w:t>
      </w:r>
      <w:r>
        <w:t xml:space="preserve"> </w:t>
      </w:r>
      <w:r>
        <w:rPr>
          <w:b/>
          <w:bCs/>
        </w:rPr>
        <w:t xml:space="preserve">7% lower new-well costs</w:t>
      </w:r>
      <w:r>
        <w:t xml:space="preserve">.</w:t>
      </w:r>
    </w:p>
    <w:p>
      <w:pPr>
        <w:pStyle w:val="Compact"/>
        <w:numPr>
          <w:ilvl w:val="0"/>
          <w:numId w:val="1011"/>
        </w:numPr>
      </w:pPr>
      <w:r>
        <w:t xml:space="preserve">Full-year capital spending of</w:t>
      </w:r>
      <w:r>
        <w:t xml:space="preserve"> </w:t>
      </w:r>
      <w:r>
        <w:rPr>
          <w:b/>
          <w:bCs/>
        </w:rPr>
        <w:t xml:space="preserve">$5.5 billion to $5.9 billion</w:t>
      </w:r>
      <w:r>
        <w:t xml:space="preserve">.</w:t>
      </w:r>
    </w:p>
    <w:p>
      <w:pPr>
        <w:pStyle w:val="Compact"/>
        <w:numPr>
          <w:ilvl w:val="0"/>
          <w:numId w:val="1011"/>
        </w:numPr>
      </w:pPr>
      <w:r>
        <w:t xml:space="preserve">Higher Q2 capital spending than the $1.55 billion recorded in Q1.</w:t>
      </w:r>
    </w:p>
    <w:p>
      <w:pPr>
        <w:pStyle w:val="FirstParagraph"/>
      </w:pPr>
      <w:r>
        <w:t xml:space="preserve">Higher oil prices can obscure cost inflation and weaker capital discipline. Investors should therefore evaluate whether:</w:t>
      </w:r>
    </w:p>
    <w:p>
      <w:pPr>
        <w:pStyle w:val="Compact"/>
        <w:numPr>
          <w:ilvl w:val="0"/>
          <w:numId w:val="1012"/>
        </w:numPr>
      </w:pPr>
      <w:r>
        <w:t xml:space="preserve">Domestic lease operating expense remains around the strong Q1 level of $7.85 per BOE.</w:t>
      </w:r>
    </w:p>
    <w:p>
      <w:pPr>
        <w:pStyle w:val="Compact"/>
        <w:numPr>
          <w:ilvl w:val="0"/>
          <w:numId w:val="1012"/>
        </w:numPr>
      </w:pPr>
      <w:r>
        <w:t xml:space="preserve">Service-cost inflation is being offset by drilling and completion efficiencies.</w:t>
      </w:r>
    </w:p>
    <w:p>
      <w:pPr>
        <w:pStyle w:val="Compact"/>
        <w:numPr>
          <w:ilvl w:val="0"/>
          <w:numId w:val="1012"/>
        </w:numPr>
      </w:pPr>
      <w:r>
        <w:t xml:space="preserve">Full-year capital guidance remains unchanged.</w:t>
      </w:r>
    </w:p>
    <w:p>
      <w:pPr>
        <w:pStyle w:val="Compact"/>
        <w:numPr>
          <w:ilvl w:val="0"/>
          <w:numId w:val="1012"/>
        </w:numPr>
      </w:pPr>
      <w:r>
        <w:t xml:space="preserve">Management resists accelerating activity solely because oil prices are elevated.</w:t>
      </w:r>
    </w:p>
    <w:p>
      <w:pPr>
        <w:pStyle w:val="FirstParagraph"/>
      </w:pPr>
      <w:r>
        <w:t xml:space="preserve">Occidental’s stated strategy is to improve free cash flow at any commodity price through lower operating costs, stronger well performance and a lower base decline rate. A large earnings increase driven only by oil prices would be less valuable than a result showing further structural cost improvement.</w:t>
      </w:r>
    </w:p>
    <w:p>
      <w:r>
        <w:pict>
          <v:rect style="width:0;height:1.5pt" o:hralign="center" o:hrstd="t" o:hr="t"/>
        </w:pict>
      </w:r>
    </w:p>
    <w:bookmarkEnd w:id="16"/>
    <w:bookmarkStart w:id="17" w:name="Xd9e6b642f55f16c085d6df721a9b754c955f99c"/>
    <w:p>
      <w:pPr>
        <w:pStyle w:val="Heading2"/>
      </w:pPr>
      <w:r>
        <w:t xml:space="preserve">Richard Jackson’s first major earnings call as CEO</w:t>
      </w:r>
    </w:p>
    <w:p>
      <w:pPr>
        <w:pStyle w:val="FirstParagraph"/>
      </w:pPr>
      <w:r>
        <w:t xml:space="preserve">Richard Jackson became CEO on</w:t>
      </w:r>
      <w:r>
        <w:t xml:space="preserve"> </w:t>
      </w:r>
      <w:r>
        <w:rPr>
          <w:b/>
          <w:bCs/>
        </w:rPr>
        <w:t xml:space="preserve">June 1, 2026</w:t>
      </w:r>
      <w:r>
        <w:t xml:space="preserve">, succeeding Vicki Hollub. This will be his first quarterly report fully leading the company.</w:t>
      </w:r>
    </w:p>
    <w:p>
      <w:pPr>
        <w:pStyle w:val="BodyText"/>
      </w:pPr>
      <w:r>
        <w:t xml:space="preserve">Jackson has emphasized:</w:t>
      </w:r>
    </w:p>
    <w:p>
      <w:pPr>
        <w:pStyle w:val="Compact"/>
        <w:numPr>
          <w:ilvl w:val="0"/>
          <w:numId w:val="1013"/>
        </w:numPr>
      </w:pPr>
      <w:r>
        <w:t xml:space="preserve">Organic development rather than major acquisitions.</w:t>
      </w:r>
    </w:p>
    <w:p>
      <w:pPr>
        <w:pStyle w:val="Compact"/>
        <w:numPr>
          <w:ilvl w:val="0"/>
          <w:numId w:val="1013"/>
        </w:numPr>
      </w:pPr>
      <w:r>
        <w:t xml:space="preserve">Operational execution.</w:t>
      </w:r>
    </w:p>
    <w:p>
      <w:pPr>
        <w:pStyle w:val="Compact"/>
        <w:numPr>
          <w:ilvl w:val="0"/>
          <w:numId w:val="1013"/>
        </w:numPr>
      </w:pPr>
      <w:r>
        <w:t xml:space="preserve">Cost and workforce efficiency.</w:t>
      </w:r>
    </w:p>
    <w:p>
      <w:pPr>
        <w:pStyle w:val="Compact"/>
        <w:numPr>
          <w:ilvl w:val="0"/>
          <w:numId w:val="1013"/>
        </w:numPr>
      </w:pPr>
      <w:r>
        <w:t xml:space="preserve">Lowering the portfolio’s base decline rate.</w:t>
      </w:r>
    </w:p>
    <w:p>
      <w:pPr>
        <w:pStyle w:val="Compact"/>
        <w:numPr>
          <w:ilvl w:val="0"/>
          <w:numId w:val="1013"/>
        </w:numPr>
      </w:pPr>
      <w:r>
        <w:t xml:space="preserve">Expanding free cash flow across commodity cycles.</w:t>
      </w:r>
    </w:p>
    <w:p>
      <w:pPr>
        <w:pStyle w:val="Compact"/>
        <w:numPr>
          <w:ilvl w:val="0"/>
          <w:numId w:val="1013"/>
        </w:numPr>
      </w:pPr>
      <w:r>
        <w:t xml:space="preserve">Preserving flexibility rather than adopting a rigid shareholder-return formula.</w:t>
      </w:r>
    </w:p>
    <w:p>
      <w:pPr>
        <w:pStyle w:val="FirstParagraph"/>
      </w:pPr>
      <w:r>
        <w:t xml:space="preserve">The market will listen for evidence of strategic continuity, but it will also want greater specificity around capital allocation. In particular:</w:t>
      </w:r>
    </w:p>
    <w:p>
      <w:pPr>
        <w:pStyle w:val="Compact"/>
        <w:numPr>
          <w:ilvl w:val="0"/>
          <w:numId w:val="1014"/>
        </w:numPr>
      </w:pPr>
      <w:r>
        <w:t xml:space="preserve">What conditions would trigger additional drilling?</w:t>
      </w:r>
    </w:p>
    <w:p>
      <w:pPr>
        <w:pStyle w:val="Compact"/>
        <w:numPr>
          <w:ilvl w:val="0"/>
          <w:numId w:val="1014"/>
        </w:numPr>
      </w:pPr>
      <w:r>
        <w:t xml:space="preserve">When could common-stock buybacks begin?</w:t>
      </w:r>
    </w:p>
    <w:p>
      <w:pPr>
        <w:pStyle w:val="Compact"/>
        <w:numPr>
          <w:ilvl w:val="0"/>
          <w:numId w:val="1014"/>
        </w:numPr>
      </w:pPr>
      <w:r>
        <w:t xml:space="preserve">How will management balance debt reduction against funding the preferred redemption?</w:t>
      </w:r>
    </w:p>
    <w:p>
      <w:pPr>
        <w:pStyle w:val="Compact"/>
        <w:numPr>
          <w:ilvl w:val="0"/>
          <w:numId w:val="1014"/>
        </w:numPr>
      </w:pPr>
      <w:r>
        <w:t xml:space="preserve">Does the new CEO intend to change the company’s approach to Low Carbon Ventures?</w:t>
      </w:r>
    </w:p>
    <w:p>
      <w:pPr>
        <w:pStyle w:val="FirstParagraph"/>
      </w:pPr>
      <w:r>
        <w:t xml:space="preserve">Any indication of renewed large-scale M&amp;A would likely be received poorly given management’s prior characterization of the portfolio as “rightsized” and its emphasis on organic development.</w:t>
      </w:r>
    </w:p>
    <w:p>
      <w:r>
        <w:pict>
          <v:rect style="width:0;height:1.5pt" o:hralign="center" o:hrstd="t" o:hr="t"/>
        </w:pict>
      </w:r>
    </w:p>
    <w:bookmarkEnd w:id="17"/>
    <w:bookmarkStart w:id="18" w:name="Xc2ba99be908c99b4beb13da640255c1c2851c59"/>
    <w:p>
      <w:pPr>
        <w:pStyle w:val="Heading2"/>
      </w:pPr>
      <w:r>
        <w:t xml:space="preserve">STRATOS is a secondary—but potentially important—risk</w:t>
      </w:r>
    </w:p>
    <w:p>
      <w:pPr>
        <w:pStyle w:val="FirstParagraph"/>
      </w:pPr>
      <w:r>
        <w:t xml:space="preserve">During the Q1 call, management said construction of STRATOS Phase 2 was complete and Phase 1 commissioning had progressed, but the company identified an issue involving non-process components of the facility. Occidental was evaluating repairs and promised an update this quarter.</w:t>
      </w:r>
    </w:p>
    <w:p>
      <w:pPr>
        <w:pStyle w:val="BodyText"/>
      </w:pPr>
      <w:r>
        <w:t xml:space="preserve">Management said at the time that it did not expect the issue to affect the company’s 2026 capital range. Investors should nevertheless seek answers on:</w:t>
      </w:r>
    </w:p>
    <w:p>
      <w:pPr>
        <w:pStyle w:val="Compact"/>
        <w:numPr>
          <w:ilvl w:val="0"/>
          <w:numId w:val="1015"/>
        </w:numPr>
      </w:pPr>
      <w:r>
        <w:t xml:space="preserve">The revised operating timetable.</w:t>
      </w:r>
    </w:p>
    <w:p>
      <w:pPr>
        <w:pStyle w:val="Compact"/>
        <w:numPr>
          <w:ilvl w:val="0"/>
          <w:numId w:val="1015"/>
        </w:numPr>
      </w:pPr>
      <w:r>
        <w:t xml:space="preserve">Repair costs.</w:t>
      </w:r>
    </w:p>
    <w:p>
      <w:pPr>
        <w:pStyle w:val="Compact"/>
        <w:numPr>
          <w:ilvl w:val="0"/>
          <w:numId w:val="1015"/>
        </w:numPr>
      </w:pPr>
      <w:r>
        <w:t xml:space="preserve">Whether the problem affects expected facility performance or only timing.</w:t>
      </w:r>
    </w:p>
    <w:p>
      <w:pPr>
        <w:pStyle w:val="Compact"/>
        <w:numPr>
          <w:ilvl w:val="0"/>
          <w:numId w:val="1015"/>
        </w:numPr>
      </w:pPr>
      <w:r>
        <w:t xml:space="preserve">Commercial commitments and the pace at which STRATOS can generate revenue.</w:t>
      </w:r>
    </w:p>
    <w:p>
      <w:pPr>
        <w:pStyle w:val="Compact"/>
        <w:numPr>
          <w:ilvl w:val="0"/>
          <w:numId w:val="1015"/>
        </w:numPr>
      </w:pPr>
      <w:r>
        <w:t xml:space="preserve">Future Occidental capital requirements for Low Carbon Ventures.</w:t>
      </w:r>
    </w:p>
    <w:p>
      <w:pPr>
        <w:pStyle w:val="FirstParagraph"/>
      </w:pPr>
      <w:r>
        <w:t xml:space="preserve">A contained delay with no material additional capital would be manageable. Another open-ended schedule revision could increase skepticism regarding the economics and execution risk of Occidental’s low-carbon investments.</w:t>
      </w:r>
    </w:p>
    <w:p>
      <w:r>
        <w:pict>
          <v:rect style="width:0;height:1.5pt" o:hralign="center" o:hrstd="t" o:hr="t"/>
        </w:pict>
      </w:r>
    </w:p>
    <w:bookmarkEnd w:id="18"/>
    <w:bookmarkStart w:id="19" w:name="dont-overreact-to-headline-eps"/>
    <w:p>
      <w:pPr>
        <w:pStyle w:val="Heading2"/>
      </w:pPr>
      <w:r>
        <w:t xml:space="preserve">Don’t overreact to headline EPS</w:t>
      </w:r>
    </w:p>
    <w:p>
      <w:pPr>
        <w:pStyle w:val="FirstParagraph"/>
      </w:pPr>
      <w:r>
        <w:t xml:space="preserve">First-quarter reported EPS of $3.13 was heavily distorted by the gain on the OxyChem sale, derivative losses and debt-redemption costs; adjusted EPS from continuing operations was $1.06.</w:t>
      </w:r>
    </w:p>
    <w:p>
      <w:pPr>
        <w:pStyle w:val="BodyText"/>
      </w:pPr>
      <w:r>
        <w:t xml:space="preserve">Second-quarter GAAP results may again contain derivative mark-to-market effects and other comparability items. Investors should prioritize:</w:t>
      </w:r>
    </w:p>
    <w:p>
      <w:pPr>
        <w:pStyle w:val="Compact"/>
        <w:numPr>
          <w:ilvl w:val="0"/>
          <w:numId w:val="1016"/>
        </w:numPr>
      </w:pPr>
      <w:r>
        <w:t xml:space="preserve">Adjusted earnings from continuing operations.</w:t>
      </w:r>
    </w:p>
    <w:p>
      <w:pPr>
        <w:pStyle w:val="Compact"/>
        <w:numPr>
          <w:ilvl w:val="0"/>
          <w:numId w:val="1016"/>
        </w:numPr>
      </w:pPr>
      <w:r>
        <w:t xml:space="preserve">Operating cash flow before working capital.</w:t>
      </w:r>
    </w:p>
    <w:p>
      <w:pPr>
        <w:pStyle w:val="Compact"/>
        <w:numPr>
          <w:ilvl w:val="0"/>
          <w:numId w:val="1016"/>
        </w:numPr>
      </w:pPr>
      <w:r>
        <w:t xml:space="preserve">Free cash flow before working capital.</w:t>
      </w:r>
    </w:p>
    <w:p>
      <w:pPr>
        <w:pStyle w:val="Compact"/>
        <w:numPr>
          <w:ilvl w:val="0"/>
          <w:numId w:val="1016"/>
        </w:numPr>
      </w:pPr>
      <w:r>
        <w:t xml:space="preserve">Principal debt.</w:t>
      </w:r>
    </w:p>
    <w:p>
      <w:pPr>
        <w:pStyle w:val="Compact"/>
        <w:numPr>
          <w:ilvl w:val="0"/>
          <w:numId w:val="1016"/>
        </w:numPr>
      </w:pPr>
      <w:r>
        <w:t xml:space="preserve">Production and unit costs.</w:t>
      </w:r>
    </w:p>
    <w:p>
      <w:pPr>
        <w:pStyle w:val="FirstParagraph"/>
      </w:pPr>
      <w:r>
        <w:t xml:space="preserve">Average diluted shares increased modestly to</w:t>
      </w:r>
      <w:r>
        <w:t xml:space="preserve"> </w:t>
      </w:r>
      <w:r>
        <w:rPr>
          <w:b/>
          <w:bCs/>
        </w:rPr>
        <w:t xml:space="preserve">1.012 billion</w:t>
      </w:r>
      <w:r>
        <w:t xml:space="preserve"> </w:t>
      </w:r>
      <w:r>
        <w:t xml:space="preserve">in Q2 from 1.007 billion in Q1. The roughly 0.5% sequential dilution is not material to the central thesis, but it reinforces why a move toward common-stock repurchases would be strategically important after deleveraging.</w:t>
      </w:r>
    </w:p>
    <w:p>
      <w:r>
        <w:pict>
          <v:rect style="width:0;height:1.5pt" o:hralign="center" o:hrstd="t" o:hr="t"/>
        </w:pict>
      </w:r>
    </w:p>
    <w:bookmarkEnd w:id="19"/>
    <w:bookmarkStart w:id="20" w:name="market-setup"/>
    <w:p>
      <w:pPr>
        <w:pStyle w:val="Heading2"/>
      </w:pPr>
      <w:r>
        <w:t xml:space="preserve">Market setup</w:t>
      </w:r>
    </w:p>
    <w:p>
      <w:pPr>
        <w:pStyle w:val="FirstParagraph"/>
      </w:pPr>
      <w:r>
        <w:t xml:space="preserve">OXY closed at approximately</w:t>
      </w:r>
      <w:r>
        <w:t xml:space="preserve"> </w:t>
      </w:r>
      <w:r>
        <w:rPr>
          <w:b/>
          <w:bCs/>
        </w:rPr>
        <w:t xml:space="preserve">$55.11 on August 4</w:t>
      </w:r>
      <w:r>
        <w:t xml:space="preserve">:</w:t>
      </w:r>
    </w:p>
    <w:p>
      <w:pPr>
        <w:pStyle w:val="Compact"/>
        <w:numPr>
          <w:ilvl w:val="0"/>
          <w:numId w:val="1017"/>
        </w:numPr>
      </w:pPr>
      <w:r>
        <w:t xml:space="preserve">Up about</w:t>
      </w:r>
      <w:r>
        <w:t xml:space="preserve"> </w:t>
      </w:r>
      <w:r>
        <w:rPr>
          <w:b/>
          <w:bCs/>
        </w:rPr>
        <w:t xml:space="preserve">13.5% since June 30</w:t>
      </w:r>
      <w:r>
        <w:t xml:space="preserve">, as oil prices rallied.</w:t>
      </w:r>
    </w:p>
    <w:p>
      <w:pPr>
        <w:pStyle w:val="Compact"/>
        <w:numPr>
          <w:ilvl w:val="0"/>
          <w:numId w:val="1017"/>
        </w:numPr>
      </w:pPr>
      <w:r>
        <w:t xml:space="preserve">Roughly in line with ConocoPhillips and Exxon over that period.</w:t>
      </w:r>
    </w:p>
    <w:p>
      <w:pPr>
        <w:pStyle w:val="Compact"/>
        <w:numPr>
          <w:ilvl w:val="0"/>
          <w:numId w:val="1017"/>
        </w:numPr>
      </w:pPr>
      <w:r>
        <w:t xml:space="preserve">Still about</w:t>
      </w:r>
      <w:r>
        <w:t xml:space="preserve"> </w:t>
      </w:r>
      <w:r>
        <w:rPr>
          <w:b/>
          <w:bCs/>
        </w:rPr>
        <w:t xml:space="preserve">7% below its May 5 close</w:t>
      </w:r>
      <w:r>
        <w:t xml:space="preserve">.</w:t>
      </w:r>
    </w:p>
    <w:p>
      <w:pPr>
        <w:pStyle w:val="FirstParagraph"/>
      </w:pPr>
      <w:r>
        <w:t xml:space="preserve">That suggests some of the favorable commodity backdrop is priced in, but the stock is not entering the report at an obvious extreme relative to its recent range.</w:t>
      </w:r>
    </w:p>
    <w:p>
      <w:pPr>
        <w:pStyle w:val="BodyText"/>
      </w:pPr>
      <w:r>
        <w:t xml:space="preserve">The likely share-price reaction may depend less on whether EPS exceeds consensus and more on whether management converts high oil prices into a visibly improved capital-return outlook.</w:t>
      </w:r>
    </w:p>
    <w:p>
      <w:r>
        <w:pict>
          <v:rect style="width:0;height:1.5pt" o:hralign="center" o:hrstd="t" o:hr="t"/>
        </w:pict>
      </w:r>
    </w:p>
    <w:bookmarkEnd w:id="20"/>
    <w:bookmarkStart w:id="24" w:name="earnings-scorecard"/>
    <w:p>
      <w:pPr>
        <w:pStyle w:val="Heading2"/>
      </w:pPr>
      <w:r>
        <w:t xml:space="preserve">Earnings scorecard</w:t>
      </w:r>
    </w:p>
    <w:bookmarkStart w:id="21" w:name="bullish-outcome"/>
    <w:p>
      <w:pPr>
        <w:pStyle w:val="Heading3"/>
      </w:pPr>
      <w:r>
        <w:t xml:space="preserve">Bullish outcome</w:t>
      </w:r>
    </w:p>
    <w:p>
      <w:pPr>
        <w:pStyle w:val="Compact"/>
        <w:numPr>
          <w:ilvl w:val="0"/>
          <w:numId w:val="1018"/>
        </w:numPr>
      </w:pPr>
      <w:r>
        <w:t xml:space="preserve">Strong upstream cash flow consistent with disclosed oil realizations.</w:t>
      </w:r>
    </w:p>
    <w:p>
      <w:pPr>
        <w:pStyle w:val="Compact"/>
        <w:numPr>
          <w:ilvl w:val="0"/>
          <w:numId w:val="1018"/>
        </w:numPr>
      </w:pPr>
      <w:r>
        <w:t xml:space="preserve">Principal debt near or at $10 billion.</w:t>
      </w:r>
    </w:p>
    <w:p>
      <w:pPr>
        <w:pStyle w:val="Compact"/>
        <w:numPr>
          <w:ilvl w:val="0"/>
          <w:numId w:val="1018"/>
        </w:numPr>
      </w:pPr>
      <w:r>
        <w:t xml:space="preserve">Production meets or exceeds expectations without a guidance reduction.</w:t>
      </w:r>
    </w:p>
    <w:p>
      <w:pPr>
        <w:pStyle w:val="Compact"/>
        <w:numPr>
          <w:ilvl w:val="0"/>
          <w:numId w:val="1018"/>
        </w:numPr>
      </w:pPr>
      <w:r>
        <w:t xml:space="preserve">Midstream again outperforms.</w:t>
      </w:r>
    </w:p>
    <w:p>
      <w:pPr>
        <w:pStyle w:val="Compact"/>
        <w:numPr>
          <w:ilvl w:val="0"/>
          <w:numId w:val="1018"/>
        </w:numPr>
      </w:pPr>
      <w:r>
        <w:t xml:space="preserve">Capital guidance remains within</w:t>
      </w:r>
      <w:r>
        <w:t xml:space="preserve"> </w:t>
      </w:r>
      <m:oMath>
        <m:r>
          <m:t>5.5</m:t>
        </m:r>
        <m:r>
          <m:t>b</m:t>
        </m:r>
        <m:r>
          <m:t>i</m:t>
        </m:r>
        <m:r>
          <m:t>l</m:t>
        </m:r>
        <m:r>
          <m:t>l</m:t>
        </m:r>
        <m:r>
          <m:t>i</m:t>
        </m:r>
        <m:r>
          <m:t>o</m:t>
        </m:r>
        <m:r>
          <m:t>n</m:t>
        </m:r>
        <m:r>
          <m:rPr>
            <m:sty m:val="p"/>
          </m:rPr>
          <m:t>–</m:t>
        </m:r>
      </m:oMath>
      <w:r>
        <w:t xml:space="preserve">5.9 billion.</w:t>
      </w:r>
    </w:p>
    <w:p>
      <w:pPr>
        <w:pStyle w:val="Compact"/>
        <w:numPr>
          <w:ilvl w:val="0"/>
          <w:numId w:val="1018"/>
        </w:numPr>
      </w:pPr>
      <w:r>
        <w:t xml:space="preserve">Management outlines a credible path to common buybacks or preferred-stock funding.</w:t>
      </w:r>
    </w:p>
    <w:p>
      <w:pPr>
        <w:pStyle w:val="Compact"/>
        <w:numPr>
          <w:ilvl w:val="0"/>
          <w:numId w:val="1018"/>
        </w:numPr>
      </w:pPr>
      <w:r>
        <w:t xml:space="preserve">STRATOS delay is limited and does not require meaningful incremental capital.</w:t>
      </w:r>
    </w:p>
    <w:bookmarkEnd w:id="21"/>
    <w:bookmarkStart w:id="22" w:name="neutral-outcome"/>
    <w:p>
      <w:pPr>
        <w:pStyle w:val="Heading3"/>
      </w:pPr>
      <w:r>
        <w:t xml:space="preserve">Neutral outcome</w:t>
      </w:r>
    </w:p>
    <w:p>
      <w:pPr>
        <w:pStyle w:val="Compact"/>
        <w:numPr>
          <w:ilvl w:val="0"/>
          <w:numId w:val="1019"/>
        </w:numPr>
      </w:pPr>
      <w:r>
        <w:t xml:space="preserve">Earnings are strong but mostly commodity-driven.</w:t>
      </w:r>
    </w:p>
    <w:p>
      <w:pPr>
        <w:pStyle w:val="Compact"/>
        <w:numPr>
          <w:ilvl w:val="0"/>
          <w:numId w:val="1019"/>
        </w:numPr>
      </w:pPr>
      <w:r>
        <w:t xml:space="preserve">Debt reduction is solid but slower than expected because of working capital or higher capital spending.</w:t>
      </w:r>
    </w:p>
    <w:p>
      <w:pPr>
        <w:pStyle w:val="Compact"/>
        <w:numPr>
          <w:ilvl w:val="0"/>
          <w:numId w:val="1019"/>
        </w:numPr>
      </w:pPr>
      <w:r>
        <w:t xml:space="preserve">Production is within guidance.</w:t>
      </w:r>
    </w:p>
    <w:p>
      <w:pPr>
        <w:pStyle w:val="Compact"/>
        <w:numPr>
          <w:ilvl w:val="0"/>
          <w:numId w:val="1019"/>
        </w:numPr>
      </w:pPr>
      <w:r>
        <w:t xml:space="preserve">Management retains flexibility without clarifying post-$10-billion capital allocation.</w:t>
      </w:r>
    </w:p>
    <w:bookmarkEnd w:id="22"/>
    <w:bookmarkStart w:id="23" w:name="bearish-outcome"/>
    <w:p>
      <w:pPr>
        <w:pStyle w:val="Heading3"/>
      </w:pPr>
      <w:r>
        <w:t xml:space="preserve">Bearish outcome</w:t>
      </w:r>
    </w:p>
    <w:p>
      <w:pPr>
        <w:pStyle w:val="Compact"/>
        <w:numPr>
          <w:ilvl w:val="0"/>
          <w:numId w:val="1020"/>
        </w:numPr>
      </w:pPr>
      <w:r>
        <w:t xml:space="preserve">Weak cash conversion despite nearly $97-per-barrel realized oil.</w:t>
      </w:r>
    </w:p>
    <w:p>
      <w:pPr>
        <w:pStyle w:val="Compact"/>
        <w:numPr>
          <w:ilvl w:val="0"/>
          <w:numId w:val="1020"/>
        </w:numPr>
      </w:pPr>
      <w:r>
        <w:t xml:space="preserve">Debt remains materially above the expected path toward $10 billion.</w:t>
      </w:r>
    </w:p>
    <w:p>
      <w:pPr>
        <w:pStyle w:val="Compact"/>
        <w:numPr>
          <w:ilvl w:val="0"/>
          <w:numId w:val="1020"/>
        </w:numPr>
      </w:pPr>
      <w:r>
        <w:t xml:space="preserve">U.S. production or costs disappoint.</w:t>
      </w:r>
    </w:p>
    <w:p>
      <w:pPr>
        <w:pStyle w:val="Compact"/>
        <w:numPr>
          <w:ilvl w:val="0"/>
          <w:numId w:val="1020"/>
        </w:numPr>
      </w:pPr>
      <w:r>
        <w:t xml:space="preserve">Full-year production is cut or capital spending rises.</w:t>
      </w:r>
    </w:p>
    <w:p>
      <w:pPr>
        <w:pStyle w:val="Compact"/>
        <w:numPr>
          <w:ilvl w:val="0"/>
          <w:numId w:val="1020"/>
        </w:numPr>
      </w:pPr>
      <w:r>
        <w:t xml:space="preserve">Management signals accelerated reinvestment before establishing a stronger shareholder-return framework.</w:t>
      </w:r>
    </w:p>
    <w:p>
      <w:pPr>
        <w:pStyle w:val="Compact"/>
        <w:numPr>
          <w:ilvl w:val="0"/>
          <w:numId w:val="1020"/>
        </w:numPr>
      </w:pPr>
      <w:r>
        <w:t xml:space="preserve">STRATOS requires substantial additional capital or faces another open-ended delay.</w:t>
      </w:r>
    </w:p>
    <w:p>
      <w:r>
        <w:pict>
          <v:rect style="width:0;height:1.5pt" o:hralign="center" o:hrstd="t" o:hr="t"/>
        </w:pict>
      </w:r>
    </w:p>
    <w:bookmarkEnd w:id="23"/>
    <w:bookmarkEnd w:id="24"/>
    <w:bookmarkStart w:id="25" w:name="bottom-line"/>
    <w:p>
      <w:pPr>
        <w:pStyle w:val="Heading2"/>
      </w:pPr>
      <w:r>
        <w:t xml:space="preserve">Bottom line</w:t>
      </w:r>
    </w:p>
    <w:p>
      <w:pPr>
        <w:pStyle w:val="FirstParagraph"/>
      </w:pPr>
      <w:r>
        <w:t xml:space="preserve">Q2 should demonstrate</w:t>
      </w:r>
      <w:r>
        <w:t xml:space="preserve"> </w:t>
      </w:r>
      <w:r>
        <w:rPr>
          <w:b/>
          <w:bCs/>
        </w:rPr>
        <w:t xml:space="preserve">Occidental’s considerable upside leverage to oil</w:t>
      </w:r>
      <w:r>
        <w:t xml:space="preserve">, even after the $156 million collar settlement and negative Permian gas prices. But strong earnings alone are unlikely to settle the investment debate.</w:t>
      </w:r>
    </w:p>
    <w:p>
      <w:pPr>
        <w:pStyle w:val="BodyText"/>
      </w:pPr>
      <w:r>
        <w:t xml:space="preserve">The report will be most constructive if it shows that high prices are accelerating three durable changes:</w:t>
      </w:r>
    </w:p>
    <w:p>
      <w:pPr>
        <w:pStyle w:val="Compact"/>
        <w:numPr>
          <w:ilvl w:val="0"/>
          <w:numId w:val="1021"/>
        </w:numPr>
      </w:pPr>
      <w:r>
        <w:rPr>
          <w:b/>
          <w:bCs/>
        </w:rPr>
        <w:t xml:space="preserve">Principal debt moving toward $10 billion.</w:t>
      </w:r>
    </w:p>
    <w:p>
      <w:pPr>
        <w:pStyle w:val="Compact"/>
        <w:numPr>
          <w:ilvl w:val="0"/>
          <w:numId w:val="1021"/>
        </w:numPr>
      </w:pPr>
      <w:r>
        <w:rPr>
          <w:b/>
          <w:bCs/>
        </w:rPr>
        <w:t xml:space="preserve">Lower structural operating and interest costs.</w:t>
      </w:r>
    </w:p>
    <w:p>
      <w:pPr>
        <w:pStyle w:val="Compact"/>
        <w:numPr>
          <w:ilvl w:val="0"/>
          <w:numId w:val="1021"/>
        </w:numPr>
      </w:pPr>
      <w:r>
        <w:rPr>
          <w:b/>
          <w:bCs/>
        </w:rPr>
        <w:t xml:space="preserve">A transition toward sustainable common-shareholder returns.</w:t>
      </w:r>
    </w:p>
    <w:p>
      <w:pPr>
        <w:pStyle w:val="FirstParagraph"/>
      </w:pPr>
      <w:r>
        <w:t xml:space="preserve">For investors, the single most important disclosure may be the quarter-end debt balance—and the single most important commentary may be what Richard Jackson intends to do with cash once that debt milestone is reached.</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2026-08-05T01:41:28Z</dcterms:created>
  <dcterms:modified xsi:type="dcterms:W3CDTF">2026-08-05T01:41:28Z</dcterms:modified>
</cp:coreProperties>
</file>

<file path=docProps/custom.xml><?xml version="1.0" encoding="utf-8"?>
<Properties xmlns="http://schemas.openxmlformats.org/officeDocument/2006/custom-properties" xmlns:vt="http://schemas.openxmlformats.org/officeDocument/2006/docPropsVTypes"/>
</file>