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2845c51fc3cb1c414d0c4fe1f703defef547ce"/>
    <w:p>
      <w:pPr>
        <w:pStyle w:val="Heading1"/>
      </w:pPr>
      <w:r>
        <w:t xml:space="preserve">Occidental Petroleum (NYSE: OXY) — 2Q26 Earnings Preview</w:t>
      </w:r>
    </w:p>
    <w:p>
      <w:pPr>
        <w:pStyle w:val="BlockText"/>
      </w:pPr>
      <w:r>
        <w:rPr>
          <w:b/>
          <w:bCs/>
        </w:rPr>
        <w:t xml:space="preserve">Timing note:</w:t>
      </w:r>
      <w:r>
        <w:t xml:space="preserve"> </w:t>
      </w:r>
      <w:r>
        <w:t xml:space="preserve">August 5, 2026 is</w:t>
      </w:r>
      <w:r>
        <w:t xml:space="preserve"> </w:t>
      </w:r>
      <w:r>
        <w:rPr>
          <w:b/>
          <w:bCs/>
        </w:rPr>
        <w:t xml:space="preserve">today</w:t>
      </w:r>
      <w:r>
        <w:t xml:space="preserve">, not tomorrow. This preview assumes OXY’s 2Q26 earnings release and conference call have not yet been published.</w:t>
      </w:r>
    </w:p>
    <w:bookmarkStart w:id="9" w:name="Xfdbc172b1ae11a4d147056350b493aa7564e050"/>
    <w:p>
      <w:pPr>
        <w:pStyle w:val="Heading2"/>
      </w:pPr>
      <w:r>
        <w:t xml:space="preserve">Investment view: cash-flow delivery and balance-sheet progress matter more than headline EPS</w:t>
      </w:r>
    </w:p>
    <w:p>
      <w:pPr>
        <w:pStyle w:val="FirstParagraph"/>
      </w:pPr>
      <w:r>
        <w:t xml:space="preserve">OXY enters 2Q26 earnings with a substantially improved financial position, a higher commodity-price backdrop, and a newly installed CEO—but also with several moving pieces that could make the headline earnings result less informative than the operational and cash-flow details.</w:t>
      </w:r>
    </w:p>
    <w:p>
      <w:pPr>
        <w:pStyle w:val="BodyText"/>
      </w:pPr>
      <w:r>
        <w:t xml:space="preserve">The core question for investors is whether OXY can convert strong oil prices and continued domestic execution into</w:t>
      </w:r>
      <w:r>
        <w:t xml:space="preserve"> </w:t>
      </w:r>
      <w:r>
        <w:rPr>
          <w:b/>
          <w:bCs/>
        </w:rPr>
        <w:t xml:space="preserve">free cash flow, additional debt reduction, and confidence in its post-OxyChem, post-Vicki Hollub strategy</w:t>
      </w:r>
      <w:r>
        <w:t xml:space="preserve">. Management’s prior outlook points to a generally solid quarter, but with offsetting production headwinds from Middle East constraints, production-sharing contracts (PSCs), Gulf of America maintenance, and an EOR-portfolio optimization.</w:t>
      </w:r>
    </w:p>
    <w:bookmarkEnd w:id="9"/>
    <w:bookmarkStart w:id="11" w:name="why-this-report-matters"/>
    <w:p>
      <w:pPr>
        <w:pStyle w:val="Heading2"/>
      </w:pPr>
      <w:r>
        <w:t xml:space="preserve">Why this report matters</w:t>
      </w:r>
    </w:p>
    <w:bookmarkStart w:id="10" w:name="X4c1cc15ef6ed7c9d09f37037e9a462afc20c12e"/>
    <w:p>
      <w:pPr>
        <w:pStyle w:val="Heading3"/>
      </w:pPr>
      <w:r>
        <w:t xml:space="preserve">1. The balance sheet has changed dramatically—and investors will want proof that the progress is continuing</w:t>
      </w:r>
    </w:p>
    <w:p>
      <w:pPr>
        <w:pStyle w:val="FirstParagraph"/>
      </w:pPr>
      <w:r>
        <w:t xml:space="preserve">Following the OxyChem divestiture, OXY repaid a substantial amount of debt. At its 1Q26 call, management said principal debt had declined to</w:t>
      </w:r>
      <w:r>
        <w:t xml:space="preserve"> </w:t>
      </w:r>
      <w:r>
        <w:rPr>
          <w:b/>
          <w:bCs/>
        </w:rPr>
        <w:t xml:space="preserve">$13.3 billion as of May 5</w:t>
      </w:r>
      <w:r>
        <w:t xml:space="preserve">, versus roughly</w:t>
      </w:r>
      <w:r>
        <w:t xml:space="preserve"> </w:t>
      </w:r>
      <m:oMath>
        <m:r>
          <m:t>20.8</m:t>
        </m:r>
        <m:r>
          <m:t>b</m:t>
        </m:r>
        <m:r>
          <m:t>i</m:t>
        </m:r>
        <m:r>
          <m:t>l</m:t>
        </m:r>
        <m:r>
          <m:t>l</m:t>
        </m:r>
        <m:r>
          <m:t>i</m:t>
        </m:r>
        <m:r>
          <m:t>o</m:t>
        </m:r>
        <m:r>
          <m:t>n</m:t>
        </m:r>
        <m:r>
          <m:t>a</m:t>
        </m:r>
        <m:r>
          <m:t>t</m:t>
        </m:r>
        <m:r>
          <m:t>t</m:t>
        </m:r>
        <m:r>
          <m:t>h</m:t>
        </m:r>
        <m:r>
          <m:t>e</m:t>
        </m:r>
        <m:r>
          <m:t>e</m:t>
        </m:r>
        <m:r>
          <m:t>n</m:t>
        </m:r>
        <m:r>
          <m:t>d</m:t>
        </m:r>
        <m:r>
          <m:t>o</m:t>
        </m:r>
        <m:r>
          <m:t>f</m:t>
        </m:r>
        <m:r>
          <m:t>3</m:t>
        </m:r>
        <m:r>
          <m:t>Q</m:t>
        </m:r>
        <m:r>
          <m:t>25</m:t>
        </m:r>
        <m:r>
          <m:rPr>
            <m:sty m:val="p"/>
          </m:rPr>
          <m:t>,</m:t>
        </m:r>
        <m:r>
          <m:t>a</m:t>
        </m:r>
        <m:r>
          <m:t>n</m:t>
        </m:r>
        <m:r>
          <m:t>d</m:t>
        </m:r>
        <m:r>
          <m:t>r</m:t>
        </m:r>
        <m:r>
          <m:t>e</m:t>
        </m:r>
        <m:r>
          <m:t>a</m:t>
        </m:r>
        <m:r>
          <m:t>f</m:t>
        </m:r>
        <m:r>
          <m:t>f</m:t>
        </m:r>
        <m:r>
          <m:t>i</m:t>
        </m:r>
        <m:r>
          <m:t>r</m:t>
        </m:r>
        <m:r>
          <m:t>m</m:t>
        </m:r>
        <m:r>
          <m:t>e</m:t>
        </m:r>
        <m:r>
          <m:t>d</m:t>
        </m:r>
        <m:r>
          <m:t>i</m:t>
        </m:r>
        <m:r>
          <m:t>t</m:t>
        </m:r>
        <m:r>
          <m:t>s</m:t>
        </m:r>
        <m:r>
          <m:t>n</m:t>
        </m:r>
        <m:r>
          <m:t>e</m:t>
        </m:r>
        <m:r>
          <m:t>x</m:t>
        </m:r>
        <m:r>
          <m:t>t</m:t>
        </m:r>
        <m:r>
          <m:t>m</m:t>
        </m:r>
        <m:r>
          <m:t>i</m:t>
        </m:r>
        <m:r>
          <m:t>l</m:t>
        </m:r>
        <m:r>
          <m:t>e</m:t>
        </m:r>
        <m:r>
          <m:t>s</m:t>
        </m:r>
        <m:r>
          <m:t>t</m:t>
        </m:r>
        <m:r>
          <m:t>o</m:t>
        </m:r>
        <m:r>
          <m:t>n</m:t>
        </m:r>
        <m:r>
          <m:t>e</m:t>
        </m:r>
        <m:r>
          <m:t>o</m:t>
        </m:r>
        <m:r>
          <m:t>f</m:t>
        </m:r>
        <m:r>
          <m:rPr>
            <m:sty m:val="p"/>
          </m:rPr>
          <m:t>*</m:t>
        </m:r>
        <m:r>
          <m:rPr>
            <m:sty m:val="p"/>
          </m:rPr>
          <m:t>*</m:t>
        </m:r>
      </m:oMath>
      <w:r>
        <w:t xml:space="preserve">10 billion** of principal debt.</w:t>
      </w:r>
    </w:p>
    <w:p>
      <w:pPr>
        <w:pStyle w:val="BodyText"/>
      </w:pPr>
      <w:r>
        <w:t xml:space="preserve">That makes 2Q results especially important for three reasons:</w:t>
      </w:r>
    </w:p>
    <w:p>
      <w:pPr>
        <w:pStyle w:val="Compact"/>
        <w:numPr>
          <w:ilvl w:val="0"/>
          <w:numId w:val="1001"/>
        </w:numPr>
      </w:pPr>
      <w:r>
        <w:rPr>
          <w:b/>
          <w:bCs/>
        </w:rPr>
        <w:t xml:space="preserve">Cash generation:</w:t>
      </w:r>
      <w:r>
        <w:t xml:space="preserve"> </w:t>
      </w:r>
      <w:r>
        <w:t xml:space="preserve">Does reported operating cash flow catch up with the underlying cash earnings after 1Q’s working-capital outflow?</w:t>
      </w:r>
    </w:p>
    <w:p>
      <w:pPr>
        <w:pStyle w:val="Compact"/>
        <w:numPr>
          <w:ilvl w:val="0"/>
          <w:numId w:val="1001"/>
        </w:numPr>
      </w:pPr>
      <w:r>
        <w:rPr>
          <w:b/>
          <w:bCs/>
        </w:rPr>
        <w:t xml:space="preserve">Debt paydown:</w:t>
      </w:r>
      <w:r>
        <w:t xml:space="preserve"> </w:t>
      </w:r>
      <w:r>
        <w:t xml:space="preserve">Has the company made further progress toward the $10 billion target?</w:t>
      </w:r>
    </w:p>
    <w:p>
      <w:pPr>
        <w:pStyle w:val="Compact"/>
        <w:numPr>
          <w:ilvl w:val="0"/>
          <w:numId w:val="1001"/>
        </w:numPr>
      </w:pPr>
      <w:r>
        <w:rPr>
          <w:b/>
          <w:bCs/>
        </w:rPr>
        <w:t xml:space="preserve">Capital-allocation framework:</w:t>
      </w:r>
      <w:r>
        <w:t xml:space="preserve"> </w:t>
      </w:r>
      <w:r>
        <w:t xml:space="preserve">Once OXY reaches that target, management has indicated it will weigh cash accumulation for the August 2029 preferred-stock redemption, further debt reduction, reinvestment, and opportunistic repurchases.</w:t>
      </w:r>
    </w:p>
    <w:p>
      <w:pPr>
        <w:pStyle w:val="FirstParagraph"/>
      </w:pPr>
      <w:r>
        <w:t xml:space="preserve">A positive outcome would be another material decline in principal debt, accompanied by a clear explanation of what comes next after the $10 billion threshold. A less constructive outcome would be healthy earnings but muted cash conversion, rising capital needs, or a less disciplined message on spending.</w:t>
      </w:r>
    </w:p>
    <w:bookmarkEnd w:id="10"/>
    <w:bookmarkEnd w:id="11"/>
    <w:bookmarkStart w:id="12" w:name="X46cdd75e01a0b46954d89fcbdcc8c1651417ef9"/>
    <w:p>
      <w:pPr>
        <w:pStyle w:val="Heading2"/>
      </w:pPr>
      <w:r>
        <w:t xml:space="preserve">2. Commodity exposure should support results, but hedging limits part of the oil upside</w:t>
      </w:r>
    </w:p>
    <w:p>
      <w:pPr>
        <w:pStyle w:val="FirstParagraph"/>
      </w:pPr>
      <w:r>
        <w:t xml:space="preserve">OXY is highly leveraged to oil prices, and the energy backdrop has been favorable. Oil prices rose sharply through July amid Middle East supply and shipping concerns, while OXY shares rose about</w:t>
      </w:r>
      <w:r>
        <w:t xml:space="preserve"> </w:t>
      </w:r>
      <w:r>
        <w:rPr>
          <w:b/>
          <w:bCs/>
        </w:rPr>
        <w:t xml:space="preserve">19% during July</w:t>
      </w:r>
      <w:r>
        <w:t xml:space="preserve"> </w:t>
      </w:r>
      <w:r>
        <w:t xml:space="preserve">before easing modestly into the report.</w:t>
      </w:r>
    </w:p>
    <w:p>
      <w:pPr>
        <w:pStyle w:val="BodyText"/>
      </w:pPr>
      <w:r>
        <w:t xml:space="preserve">However, investors should distinguish between the</w:t>
      </w:r>
      <w:r>
        <w:t xml:space="preserve"> </w:t>
      </w:r>
      <w:r>
        <w:rPr>
          <w:b/>
          <w:bCs/>
        </w:rPr>
        <w:t xml:space="preserve">2Q26 realized-price benefit</w:t>
      </w:r>
      <w:r>
        <w:t xml:space="preserve"> </w:t>
      </w:r>
      <w:r>
        <w:t xml:space="preserve">and the much stronger prices seen later in July, which are more relevant to 3Q. There is also a meaningful hedge overlay: OXY put in place costless collars covering</w:t>
      </w:r>
      <w:r>
        <w:t xml:space="preserve"> </w:t>
      </w:r>
      <w:r>
        <w:rPr>
          <w:b/>
          <w:bCs/>
        </w:rPr>
        <w:t xml:space="preserve">100,000 barrels per day from March through December 2026</w:t>
      </w:r>
      <w:r>
        <w:t xml:space="preserve">, with a</w:t>
      </w:r>
      <w:r>
        <w:t xml:space="preserve"> </w:t>
      </w:r>
      <m:oMath>
        <m:r>
          <m:t>55</m:t>
        </m:r>
        <m:r>
          <m:rPr>
            <m:sty m:val="p"/>
          </m:rPr>
          <m:t>/</m:t>
        </m:r>
        <m:r>
          <m:t>b</m:t>
        </m:r>
        <m:r>
          <m:t>b</m:t>
        </m:r>
        <m:r>
          <m:t>l</m:t>
        </m:r>
        <m:r>
          <m:t>W</m:t>
        </m:r>
        <m:r>
          <m:t>T</m:t>
        </m:r>
        <m:r>
          <m:t>I</m:t>
        </m:r>
        <m:r>
          <m:t>f</m:t>
        </m:r>
        <m:r>
          <m:t>l</m:t>
        </m:r>
        <m:r>
          <m:t>o</m:t>
        </m:r>
        <m:r>
          <m:t>o</m:t>
        </m:r>
        <m:r>
          <m:t>r</m:t>
        </m:r>
        <m:r>
          <m:rPr>
            <m:sty m:val="p"/>
          </m:rPr>
          <m:t>*</m:t>
        </m:r>
        <m:r>
          <m:rPr>
            <m:sty m:val="p"/>
          </m:rPr>
          <m:t>*</m:t>
        </m:r>
        <m:r>
          <m:t>a</m:t>
        </m:r>
        <m:r>
          <m:t>n</m:t>
        </m:r>
        <m:r>
          <m:t>d</m:t>
        </m:r>
        <m:r>
          <m:t>a</m:t>
        </m:r>
        <m:r>
          <m:t>p</m:t>
        </m:r>
        <m:r>
          <m:t>p</m:t>
        </m:r>
        <m:r>
          <m:t>r</m:t>
        </m:r>
        <m:r>
          <m:t>o</m:t>
        </m:r>
        <m:r>
          <m:t>x</m:t>
        </m:r>
        <m:r>
          <m:t>i</m:t>
        </m:r>
        <m:r>
          <m:t>m</m:t>
        </m:r>
        <m:r>
          <m:t>a</m:t>
        </m:r>
        <m:r>
          <m:t>t</m:t>
        </m:r>
        <m:r>
          <m:t>e</m:t>
        </m:r>
        <m:r>
          <m:t>l</m:t>
        </m:r>
        <m:r>
          <m:t>y</m:t>
        </m:r>
        <m:r>
          <m:t>a</m:t>
        </m:r>
        <m:r>
          <m:rPr>
            <m:sty m:val="p"/>
          </m:rPr>
          <m:t>*</m:t>
        </m:r>
        <m:r>
          <m:rPr>
            <m:sty m:val="p"/>
          </m:rPr>
          <m:t>*</m:t>
        </m:r>
      </m:oMath>
      <w:r>
        <w:rPr>
          <w:b/>
          <w:bCs/>
        </w:rPr>
        <w:t xml:space="preserve">76/bbl WTI ceiling</w:t>
      </w:r>
      <w:r>
        <w:t xml:space="preserve">.</w:t>
      </w:r>
    </w:p>
    <w:p>
      <w:pPr>
        <w:pStyle w:val="BodyText"/>
      </w:pPr>
      <w:r>
        <w:t xml:space="preserve">Implications:</w:t>
      </w:r>
    </w:p>
    <w:p>
      <w:pPr>
        <w:pStyle w:val="Compact"/>
        <w:numPr>
          <w:ilvl w:val="0"/>
          <w:numId w:val="1002"/>
        </w:numPr>
      </w:pPr>
      <w:r>
        <w:t xml:space="preserve">Higher realized oil prices should still benefit the company’s unhedged production.</w:t>
      </w:r>
    </w:p>
    <w:p>
      <w:pPr>
        <w:pStyle w:val="Compact"/>
        <w:numPr>
          <w:ilvl w:val="0"/>
          <w:numId w:val="1002"/>
        </w:numPr>
      </w:pPr>
      <w:r>
        <w:t xml:space="preserve">The hedge book protects capital-program economics in a downside scenario.</w:t>
      </w:r>
    </w:p>
    <w:p>
      <w:pPr>
        <w:pStyle w:val="Compact"/>
        <w:numPr>
          <w:ilvl w:val="0"/>
          <w:numId w:val="1002"/>
        </w:numPr>
      </w:pPr>
      <w:r>
        <w:t xml:space="preserve">But it also caps some upside when WTI exceeds the collar ceiling.</w:t>
      </w:r>
    </w:p>
    <w:p>
      <w:pPr>
        <w:pStyle w:val="Compact"/>
        <w:numPr>
          <w:ilvl w:val="0"/>
          <w:numId w:val="1002"/>
        </w:numPr>
      </w:pPr>
      <w:r>
        <w:t xml:space="preserve">Investors should closely watch the earnings bridge for both realized prices and derivative impacts; in 1Q, derivative losses were a notable adjustment to reported results.</w:t>
      </w:r>
    </w:p>
    <w:bookmarkEnd w:id="12"/>
    <w:bookmarkStart w:id="13" w:name="Xc5fe408c6bdfc7d6422dc68a3cb386b5b95b865"/>
    <w:p>
      <w:pPr>
        <w:pStyle w:val="Heading2"/>
      </w:pPr>
      <w:r>
        <w:t xml:space="preserve">3. Production quality—not simply total volumes—will be the key operational issue</w:t>
      </w:r>
    </w:p>
    <w:p>
      <w:pPr>
        <w:pStyle w:val="FirstParagraph"/>
      </w:pPr>
      <w:r>
        <w:t xml:space="preserve">In 1Q26, OXY produced</w:t>
      </w:r>
      <w:r>
        <w:t xml:space="preserve"> </w:t>
      </w:r>
      <w:r>
        <w:rPr>
          <w:b/>
          <w:bCs/>
        </w:rPr>
        <w:t xml:space="preserve">1.426 MMboe/d</w:t>
      </w:r>
      <w:r>
        <w:t xml:space="preserve">, above the high end of guidance. Domestic execution was particularly strong, led by the Permian, Rockies, and Gulf of America. For 2Q, management previously flagged several factors likely to pull in different directions: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Area</w:t>
            </w:r>
          </w:p>
        </w:tc>
        <w:tc>
          <w:tcPr/>
          <w:p>
            <w:pPr>
              <w:pStyle w:val="Compact"/>
            </w:pPr>
            <w:r>
              <w:t xml:space="preserve">What investors should watch</w:t>
            </w:r>
          </w:p>
        </w:tc>
      </w:tr>
      <w:tr>
        <w:tc>
          <w:tcPr/>
          <w:p>
            <w:pPr>
              <w:pStyle w:val="Compact"/>
            </w:pPr>
            <w:r>
              <w:rPr>
                <w:b/>
                <w:bCs/>
              </w:rPr>
              <w:t xml:space="preserve">Permian</w:t>
            </w:r>
          </w:p>
        </w:tc>
        <w:tc>
          <w:tcPr/>
          <w:p>
            <w:pPr>
              <w:pStyle w:val="Compact"/>
            </w:pPr>
            <w:r>
              <w:t xml:space="preserve">Expected sequential growth in unconventional production, aided by higher activity and resilient base production.</w:t>
            </w:r>
          </w:p>
        </w:tc>
      </w:tr>
      <w:tr>
        <w:tc>
          <w:tcPr/>
          <w:p>
            <w:pPr>
              <w:pStyle w:val="Compact"/>
            </w:pPr>
            <w:r>
              <w:rPr>
                <w:b/>
                <w:bCs/>
              </w:rPr>
              <w:t xml:space="preserve">Rockies</w:t>
            </w:r>
          </w:p>
        </w:tc>
        <w:tc>
          <w:tcPr/>
          <w:p>
            <w:pPr>
              <w:pStyle w:val="Compact"/>
            </w:pPr>
            <w:r>
              <w:t xml:space="preserve">Expected to be broadly flat, excluding prior-period adjustments.</w:t>
            </w:r>
          </w:p>
        </w:tc>
      </w:tr>
      <w:tr>
        <w:tc>
          <w:tcPr/>
          <w:p>
            <w:pPr>
              <w:pStyle w:val="Compact"/>
            </w:pPr>
            <w:r>
              <w:rPr>
                <w:b/>
                <w:bCs/>
              </w:rPr>
              <w:t xml:space="preserve">Gulf of America</w:t>
            </w:r>
          </w:p>
        </w:tc>
        <w:tc>
          <w:tcPr/>
          <w:p>
            <w:pPr>
              <w:pStyle w:val="Compact"/>
            </w:pPr>
            <w:r>
              <w:t xml:space="preserve">Expected modest sequential decline due to planned maintenance and seasonal weather exposure. Reliability and uptime remain important after a strong 1Q.</w:t>
            </w:r>
          </w:p>
        </w:tc>
      </w:tr>
      <w:tr>
        <w:tc>
          <w:tcPr/>
          <w:p>
            <w:pPr>
              <w:pStyle w:val="Compact"/>
            </w:pPr>
            <w:r>
              <w:rPr>
                <w:b/>
                <w:bCs/>
              </w:rPr>
              <w:t xml:space="preserve">Middle East / Al Hosn</w:t>
            </w:r>
          </w:p>
        </w:tc>
        <w:tc>
          <w:tcPr/>
          <w:p>
            <w:pPr>
              <w:pStyle w:val="Compact"/>
            </w:pPr>
            <w:r>
              <w:t xml:space="preserve">Modest operational constraints and logistical disruptions were expected to pressure volumes and sulfur sales. The timeline for normalization is important.</w:t>
            </w:r>
          </w:p>
        </w:tc>
      </w:tr>
      <w:tr>
        <w:tc>
          <w:tcPr/>
          <w:p>
            <w:pPr>
              <w:pStyle w:val="Compact"/>
            </w:pPr>
            <w:r>
              <w:rPr>
                <w:b/>
                <w:bCs/>
              </w:rPr>
              <w:t xml:space="preserve">EOR portfolio</w:t>
            </w:r>
          </w:p>
        </w:tc>
        <w:tc>
          <w:tcPr/>
          <w:p>
            <w:pPr>
              <w:pStyle w:val="Compact"/>
            </w:pPr>
            <w:r>
              <w:t xml:space="preserve">OXY optimized the portfolio by increasing interests in core operated floods and divesting scattered noncore fields. This can reduce reported volumes but improve margins, operating costs, and free cash flow.</w:t>
            </w:r>
          </w:p>
        </w:tc>
      </w:tr>
    </w:tbl>
    <w:p>
      <w:pPr>
        <w:pStyle w:val="BodyText"/>
      </w:pPr>
      <w:r>
        <w:t xml:space="preserve">Management reduced the midpoint of its full-year production outlook to</w:t>
      </w:r>
      <w:r>
        <w:t xml:space="preserve"> </w:t>
      </w:r>
      <w:r>
        <w:rPr>
          <w:b/>
          <w:bCs/>
        </w:rPr>
        <w:t xml:space="preserve">1.44 MMboe/d</w:t>
      </w:r>
      <w:r>
        <w:t xml:space="preserve">, citing Middle East disruptions and the EOR actions. Therefore, a modest production miss versus earlier expectations would not necessarily be thesis-changing if the cause is the planned mix shift toward higher-margin, lower-cost barrels.</w:t>
      </w:r>
    </w:p>
    <w:p>
      <w:pPr>
        <w:pStyle w:val="BodyText"/>
      </w:pPr>
      <w:r>
        <w:t xml:space="preserve">The better test is whether OXY continues to demonstrate:</w:t>
      </w:r>
      <w:r>
        <w:t xml:space="preserve"> </w:t>
      </w:r>
      <w:r>
        <w:rPr>
          <w:b/>
          <w:bCs/>
        </w:rPr>
        <w:t xml:space="preserve">Permian well-performance strength, low domestic operating costs, and a pathway to lower corporate decline rates over time.</w:t>
      </w:r>
    </w:p>
    <w:bookmarkEnd w:id="13"/>
    <w:bookmarkStart w:id="14" w:name="X3d68d98beeea4a5c19658efd37125747b9cfb7a"/>
    <w:p>
      <w:pPr>
        <w:pStyle w:val="Heading2"/>
      </w:pPr>
      <w:r>
        <w:t xml:space="preserve">4. Midstream and marketing could again be an earnings differentiator</w:t>
      </w:r>
    </w:p>
    <w:p>
      <w:pPr>
        <w:pStyle w:val="FirstParagraph"/>
      </w:pPr>
      <w:r>
        <w:t xml:space="preserve">OXY materially increased the midpoint of full-year midstream guidance to</w:t>
      </w:r>
      <w:r>
        <w:t xml:space="preserve"> </w:t>
      </w:r>
      <m:oMath>
        <m:r>
          <m:t>1.1</m:t>
        </m:r>
        <m:r>
          <m:t>b</m:t>
        </m:r>
        <m:r>
          <m:t>i</m:t>
        </m:r>
        <m:r>
          <m:t>l</m:t>
        </m:r>
        <m:r>
          <m:t>l</m:t>
        </m:r>
        <m:r>
          <m:t>i</m:t>
        </m:r>
        <m:r>
          <m:t>o</m:t>
        </m:r>
        <m:r>
          <m:t>n</m:t>
        </m:r>
        <m:r>
          <m:rPr>
            <m:sty m:val="p"/>
          </m:rPr>
          <m:t>*</m:t>
        </m:r>
        <m:r>
          <m:rPr>
            <m:sty m:val="p"/>
          </m:rPr>
          <m:t>*</m:t>
        </m:r>
        <m:r>
          <m:rPr>
            <m:sty m:val="p"/>
          </m:rPr>
          <m:t>,</m:t>
        </m:r>
        <m:r>
          <m:t>r</m:t>
        </m:r>
        <m:r>
          <m:t>o</m:t>
        </m:r>
        <m:r>
          <m:t>u</m:t>
        </m:r>
        <m:r>
          <m:t>g</m:t>
        </m:r>
        <m:r>
          <m:t>h</m:t>
        </m:r>
        <m:r>
          <m:t>l</m:t>
        </m:r>
        <m:r>
          <m:t>y</m:t>
        </m:r>
        <m:r>
          <m:rPr>
            <m:sty m:val="p"/>
          </m:rPr>
          <m:t>*</m:t>
        </m:r>
        <m:r>
          <m:rPr>
            <m:sty m:val="p"/>
          </m:rPr>
          <m:t>*</m:t>
        </m:r>
      </m:oMath>
      <w:r>
        <w:rPr>
          <w:b/>
          <w:bCs/>
        </w:rPr>
        <w:t xml:space="preserve">800 million above</w:t>
      </w:r>
      <w:r>
        <w:t xml:space="preserve"> </w:t>
      </w:r>
      <w:r>
        <w:t xml:space="preserve">the prior outlook. The upgrade reflected gas-marketing optimization and other opportunities during a volatile market, including favorable Waha-to-Gulf Coast gas spreads.</w:t>
      </w:r>
    </w:p>
    <w:p>
      <w:pPr>
        <w:pStyle w:val="BodyText"/>
      </w:pPr>
      <w:r>
        <w:t xml:space="preserve">For 2Q, investors should focus on:</w:t>
      </w:r>
    </w:p>
    <w:p>
      <w:pPr>
        <w:pStyle w:val="Compact"/>
        <w:numPr>
          <w:ilvl w:val="0"/>
          <w:numId w:val="1003"/>
        </w:numPr>
      </w:pPr>
      <w:r>
        <w:t xml:space="preserve">Whether midstream earnings again exceed expectations;</w:t>
      </w:r>
    </w:p>
    <w:p>
      <w:pPr>
        <w:pStyle w:val="Compact"/>
        <w:numPr>
          <w:ilvl w:val="0"/>
          <w:numId w:val="1003"/>
        </w:numPr>
      </w:pPr>
      <w:r>
        <w:t xml:space="preserve">The durability of gas-marketing gains as incremental pipeline capacity eventually narrows regional spreads;</w:t>
      </w:r>
    </w:p>
    <w:p>
      <w:pPr>
        <w:pStyle w:val="Compact"/>
        <w:numPr>
          <w:ilvl w:val="0"/>
          <w:numId w:val="1003"/>
        </w:numPr>
      </w:pPr>
      <w:r>
        <w:t xml:space="preserve">The magnitude of any sulfur-sales disruption related to Middle East logistics; and</w:t>
      </w:r>
    </w:p>
    <w:p>
      <w:pPr>
        <w:pStyle w:val="Compact"/>
        <w:numPr>
          <w:ilvl w:val="0"/>
          <w:numId w:val="1003"/>
        </w:numPr>
      </w:pPr>
      <w:r>
        <w:t xml:space="preserve">How much of performance reflects repeatable optimization versus volatile timing or mark-to-market effects.</w:t>
      </w:r>
    </w:p>
    <w:p>
      <w:pPr>
        <w:pStyle w:val="FirstParagraph"/>
      </w:pPr>
      <w:r>
        <w:t xml:space="preserve">Strong midstream results would improve the quality of OXY’s cash flow and partially diversify earnings away from upstream price realization.</w:t>
      </w:r>
    </w:p>
    <w:bookmarkEnd w:id="14"/>
    <w:bookmarkStart w:id="15" w:name="X7ddb0a439c3caee812a3388f12da2f11296e233"/>
    <w:p>
      <w:pPr>
        <w:pStyle w:val="Heading2"/>
      </w:pPr>
      <w:r>
        <w:t xml:space="preserve">5. This is the first full quarter under CEO Richard Jackson</w:t>
      </w:r>
    </w:p>
    <w:p>
      <w:pPr>
        <w:pStyle w:val="FirstParagraph"/>
      </w:pPr>
      <w:r>
        <w:t xml:space="preserve">Richard Jackson became CEO on</w:t>
      </w:r>
      <w:r>
        <w:t xml:space="preserve"> </w:t>
      </w:r>
      <w:r>
        <w:rPr>
          <w:b/>
          <w:bCs/>
        </w:rPr>
        <w:t xml:space="preserve">June 1, 2026</w:t>
      </w:r>
      <w:r>
        <w:t xml:space="preserve">, succeeding Vicki Hollub. The report and call offer the first major opportunity to assess whether the strategy is changing—or simply becoming more explicitly execution-led.</w:t>
      </w:r>
    </w:p>
    <w:p>
      <w:pPr>
        <w:pStyle w:val="BodyText"/>
      </w:pPr>
      <w:r>
        <w:t xml:space="preserve">So far, Jackson’s framework has emphasized:</w:t>
      </w:r>
    </w:p>
    <w:p>
      <w:pPr>
        <w:pStyle w:val="Compact"/>
        <w:numPr>
          <w:ilvl w:val="0"/>
          <w:numId w:val="1004"/>
        </w:numPr>
      </w:pPr>
      <w:r>
        <w:t xml:space="preserve">Organic development of OXY’s existing resource base rather than large-scale M&amp;A;</w:t>
      </w:r>
    </w:p>
    <w:p>
      <w:pPr>
        <w:pStyle w:val="Compact"/>
        <w:numPr>
          <w:ilvl w:val="0"/>
          <w:numId w:val="1004"/>
        </w:numPr>
      </w:pPr>
      <w:r>
        <w:t xml:space="preserve">Lower unit costs and improved capital efficiency;</w:t>
      </w:r>
    </w:p>
    <w:p>
      <w:pPr>
        <w:pStyle w:val="Compact"/>
        <w:numPr>
          <w:ilvl w:val="0"/>
          <w:numId w:val="1004"/>
        </w:numPr>
      </w:pPr>
      <w:r>
        <w:t xml:space="preserve">Reduced base decline through EOR, Gulf of America waterfloods, and other lower-decline investments;</w:t>
      </w:r>
    </w:p>
    <w:p>
      <w:pPr>
        <w:pStyle w:val="Compact"/>
        <w:numPr>
          <w:ilvl w:val="0"/>
          <w:numId w:val="1004"/>
        </w:numPr>
      </w:pPr>
      <w:r>
        <w:t xml:space="preserve">Debt reduction before a more expansive shareholder-return program; and</w:t>
      </w:r>
    </w:p>
    <w:p>
      <w:pPr>
        <w:pStyle w:val="Compact"/>
        <w:numPr>
          <w:ilvl w:val="0"/>
          <w:numId w:val="1004"/>
        </w:numPr>
      </w:pPr>
      <w:r>
        <w:t xml:space="preserve">Measured reinvestment only when commodity conditions and returns warrant it.</w:t>
      </w:r>
    </w:p>
    <w:p>
      <w:pPr>
        <w:pStyle w:val="FirstParagraph"/>
      </w:pPr>
      <w:r>
        <w:t xml:space="preserve">Investors should expect questions around 2027 sustaining capital. Management previously suggested</w:t>
      </w:r>
      <w:r>
        <w:t xml:space="preserve"> </w:t>
      </w:r>
      <w:r>
        <w:rPr>
          <w:b/>
          <w:bCs/>
        </w:rPr>
        <w:t xml:space="preserve">$5.9 billion</w:t>
      </w:r>
      <w:r>
        <w:t xml:space="preserve"> </w:t>
      </w:r>
      <w:r>
        <w:t xml:space="preserve">as a preliminary starting point, with modest changes in exploration and Gulf of America activity and the roll-off of some Low Carbon Ventures spending. Any material departure from that framework would be notable.</w:t>
      </w:r>
    </w:p>
    <w:bookmarkEnd w:id="15"/>
    <w:bookmarkStart w:id="16" w:name="key-numbers-and-benchmarks-from-1q26"/>
    <w:p>
      <w:pPr>
        <w:pStyle w:val="Heading2"/>
      </w:pPr>
      <w:r>
        <w:t xml:space="preserve">Key numbers and benchmarks from 1Q26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result</w:t>
            </w:r>
          </w:p>
        </w:tc>
        <w:tc>
          <w:tcPr/>
          <w:p>
            <w:pPr>
              <w:pStyle w:val="Compact"/>
            </w:pPr>
            <w:r>
              <w:t xml:space="preserve">Why it matters for 2Q</w:t>
            </w:r>
          </w:p>
        </w:tc>
      </w:tr>
      <w:tr>
        <w:tc>
          <w:tcPr/>
          <w:p>
            <w:pPr>
              <w:pStyle w:val="Compact"/>
            </w:pPr>
            <w:r>
              <w:t xml:space="preserve">Adjusted EPS from continuing operations</w:t>
            </w:r>
          </w:p>
        </w:tc>
        <w:tc>
          <w:tcPr/>
          <w:p>
            <w:pPr>
              <w:pStyle w:val="Compact"/>
              <w:jc w:val="right"/>
            </w:pPr>
            <w:r>
              <w:rPr>
                <w:b/>
                <w:bCs/>
              </w:rPr>
              <w:t xml:space="preserve">$1.06</w:t>
            </w:r>
          </w:p>
        </w:tc>
        <w:tc>
          <w:tcPr/>
          <w:p>
            <w:pPr>
              <w:pStyle w:val="Compact"/>
            </w:pPr>
            <w:r>
              <w:t xml:space="preserve">Better baseline than GAAP EPS after the OxyChem-sale gain.</w:t>
            </w:r>
          </w:p>
        </w:tc>
      </w:tr>
      <w:tr>
        <w:tc>
          <w:tcPr/>
          <w:p>
            <w:pPr>
              <w:pStyle w:val="Compact"/>
            </w:pPr>
            <w:r>
              <w:t xml:space="preserve">Reported diluted EPS</w:t>
            </w:r>
          </w:p>
        </w:tc>
        <w:tc>
          <w:tcPr/>
          <w:p>
            <w:pPr>
              <w:pStyle w:val="Compact"/>
              <w:jc w:val="right"/>
            </w:pPr>
            <w:r>
              <w:rPr>
                <w:b/>
                <w:bCs/>
              </w:rPr>
              <w:t xml:space="preserve">$3.13</w:t>
            </w:r>
          </w:p>
        </w:tc>
        <w:tc>
          <w:tcPr/>
          <w:p>
            <w:pPr>
              <w:pStyle w:val="Compact"/>
            </w:pPr>
            <w:r>
              <w:t xml:space="preserve">Included a large gain from discontinued operations; not comparable for ongoing earnings power.</w:t>
            </w:r>
          </w:p>
        </w:tc>
      </w:tr>
      <w:tr>
        <w:tc>
          <w:tcPr/>
          <w:p>
            <w:pPr>
              <w:pStyle w:val="Compact"/>
            </w:pPr>
            <w:r>
              <w:t xml:space="preserve">Worldwide production</w:t>
            </w:r>
          </w:p>
        </w:tc>
        <w:tc>
          <w:tcPr/>
          <w:p>
            <w:pPr>
              <w:pStyle w:val="Compact"/>
              <w:jc w:val="right"/>
            </w:pPr>
            <w:r>
              <w:rPr>
                <w:b/>
                <w:bCs/>
              </w:rPr>
              <w:t xml:space="preserve">1.426 MMboe/d</w:t>
            </w:r>
          </w:p>
        </w:tc>
        <w:tc>
          <w:tcPr/>
          <w:p>
            <w:pPr>
              <w:pStyle w:val="Compact"/>
            </w:pPr>
            <w:r>
              <w:t xml:space="preserve">Establishes a high operational baseline.</w:t>
            </w:r>
          </w:p>
        </w:tc>
      </w:tr>
      <w:tr>
        <w:tc>
          <w:tcPr/>
          <w:p>
            <w:pPr>
              <w:pStyle w:val="Compact"/>
            </w:pPr>
            <w:r>
              <w:t xml:space="preserve">Worldwide realized oil price</w:t>
            </w:r>
          </w:p>
        </w:tc>
        <w:tc>
          <w:tcPr/>
          <w:p>
            <w:pPr>
              <w:pStyle w:val="Compact"/>
              <w:jc w:val="right"/>
            </w:pPr>
            <w:r>
              <w:rPr>
                <w:b/>
                <w:bCs/>
              </w:rPr>
              <w:t xml:space="preserve">$69.91/bbl</w:t>
            </w:r>
          </w:p>
        </w:tc>
        <w:tc>
          <w:tcPr/>
          <w:p>
            <w:pPr>
              <w:pStyle w:val="Compact"/>
            </w:pPr>
            <w:r>
              <w:t xml:space="preserve">Key reference point for 2Q commodity-price realization.</w:t>
            </w:r>
          </w:p>
        </w:tc>
      </w:tr>
      <w:tr>
        <w:tc>
          <w:tcPr/>
          <w:p>
            <w:pPr>
              <w:pStyle w:val="Compact"/>
            </w:pPr>
            <w:r>
              <w:t xml:space="preserve">Operating cash flow before working capital</w:t>
            </w:r>
          </w:p>
        </w:tc>
        <w:tc>
          <w:tcPr/>
          <w:p>
            <w:pPr>
              <w:pStyle w:val="Compact"/>
              <w:jc w:val="right"/>
            </w:pPr>
            <w:r>
              <w:rPr>
                <w:b/>
                <w:bCs/>
              </w:rPr>
              <w:t xml:space="preserve">$3.25B</w:t>
            </w:r>
          </w:p>
        </w:tc>
        <w:tc>
          <w:tcPr/>
          <w:p>
            <w:pPr>
              <w:pStyle w:val="Compact"/>
            </w:pPr>
            <w:r>
              <w:t xml:space="preserve">Underlying cash-generation benchmark.</w:t>
            </w:r>
          </w:p>
        </w:tc>
      </w:tr>
      <w:tr>
        <w:tc>
          <w:tcPr/>
          <w:p>
            <w:pPr>
              <w:pStyle w:val="Compact"/>
            </w:pPr>
            <w:r>
              <w:t xml:space="preserve">Free cash flow before working capital</w:t>
            </w:r>
          </w:p>
        </w:tc>
        <w:tc>
          <w:tcPr/>
          <w:p>
            <w:pPr>
              <w:pStyle w:val="Compact"/>
              <w:jc w:val="right"/>
            </w:pPr>
            <w:r>
              <w:rPr>
                <w:b/>
                <w:bCs/>
              </w:rPr>
              <w:t xml:space="preserve">$1.75B</w:t>
            </w:r>
          </w:p>
        </w:tc>
        <w:tc>
          <w:tcPr/>
          <w:p>
            <w:pPr>
              <w:pStyle w:val="Compact"/>
            </w:pPr>
            <w:r>
              <w:t xml:space="preserve">Primary indicator of debt-paydown capacity.</w:t>
            </w:r>
          </w:p>
        </w:tc>
      </w:tr>
      <w:tr>
        <w:tc>
          <w:tcPr/>
          <w:p>
            <w:pPr>
              <w:pStyle w:val="Compact"/>
            </w:pPr>
            <w:r>
              <w:t xml:space="preserve">Capex, net of noncontrolling interests</w:t>
            </w:r>
          </w:p>
        </w:tc>
        <w:tc>
          <w:tcPr/>
          <w:p>
            <w:pPr>
              <w:pStyle w:val="Compact"/>
              <w:jc w:val="right"/>
            </w:pPr>
            <w:r>
              <w:rPr>
                <w:b/>
                <w:bCs/>
              </w:rPr>
              <w:t xml:space="preserve">$1.50B</w:t>
            </w:r>
          </w:p>
        </w:tc>
        <w:tc>
          <w:tcPr/>
          <w:p>
            <w:pPr>
              <w:pStyle w:val="Compact"/>
            </w:pPr>
            <w:r>
              <w:t xml:space="preserve">2Q was expected to be higher than 1Q due to first-half activity weighting.</w:t>
            </w:r>
          </w:p>
        </w:tc>
      </w:tr>
      <w:tr>
        <w:tc>
          <w:tcPr/>
          <w:p>
            <w:pPr>
              <w:pStyle w:val="Compact"/>
            </w:pPr>
            <w:r>
              <w:t xml:space="preserve">Principal debt</w:t>
            </w:r>
          </w:p>
        </w:tc>
        <w:tc>
          <w:tcPr/>
          <w:p>
            <w:pPr>
              <w:pStyle w:val="Compact"/>
              <w:jc w:val="right"/>
            </w:pPr>
            <w:r>
              <w:rPr>
                <w:b/>
                <w:bCs/>
              </w:rPr>
              <w:t xml:space="preserve">$13.3B</w:t>
            </w:r>
            <w:r>
              <w:t xml:space="preserve"> </w:t>
            </w:r>
            <w:r>
              <w:t xml:space="preserve">as of May 5</w:t>
            </w:r>
          </w:p>
        </w:tc>
        <w:tc>
          <w:tcPr/>
          <w:p>
            <w:pPr>
              <w:pStyle w:val="Compact"/>
            </w:pPr>
            <w:r>
              <w:t xml:space="preserve">Watch for further progress toward $10B.</w:t>
            </w:r>
          </w:p>
        </w:tc>
      </w:tr>
    </w:tbl>
    <w:bookmarkEnd w:id="16"/>
    <w:bookmarkStart w:id="17" w:name="what-would-constitute-a-bullish-report"/>
    <w:p>
      <w:pPr>
        <w:pStyle w:val="Heading2"/>
      </w:pPr>
      <w:r>
        <w:t xml:space="preserve">What would constitute a bullish report?</w:t>
      </w:r>
    </w:p>
    <w:p>
      <w:pPr>
        <w:pStyle w:val="Compact"/>
        <w:numPr>
          <w:ilvl w:val="0"/>
          <w:numId w:val="1005"/>
        </w:numPr>
      </w:pPr>
      <w:r>
        <w:t xml:space="preserve">Domestic production holds up well despite the expected international and Gulf of America pressures.</w:t>
      </w:r>
    </w:p>
    <w:p>
      <w:pPr>
        <w:pStyle w:val="Compact"/>
        <w:numPr>
          <w:ilvl w:val="0"/>
          <w:numId w:val="1005"/>
        </w:numPr>
      </w:pPr>
      <w:r>
        <w:t xml:space="preserve">Permian growth and cost efficiencies offset the EOR-related volume reduction.</w:t>
      </w:r>
    </w:p>
    <w:p>
      <w:pPr>
        <w:pStyle w:val="Compact"/>
        <w:numPr>
          <w:ilvl w:val="0"/>
          <w:numId w:val="1005"/>
        </w:numPr>
      </w:pPr>
      <w:r>
        <w:t xml:space="preserve">Midstream and marketing again meaningfully outperform guidance.</w:t>
      </w:r>
    </w:p>
    <w:p>
      <w:pPr>
        <w:pStyle w:val="Compact"/>
        <w:numPr>
          <w:ilvl w:val="0"/>
          <w:numId w:val="1005"/>
        </w:numPr>
      </w:pPr>
      <w:r>
        <w:t xml:space="preserve">Cash flow improves as 1Q working-capital headwinds reverse.</w:t>
      </w:r>
    </w:p>
    <w:p>
      <w:pPr>
        <w:pStyle w:val="Compact"/>
        <w:numPr>
          <w:ilvl w:val="0"/>
          <w:numId w:val="1005"/>
        </w:numPr>
      </w:pPr>
      <w:r>
        <w:t xml:space="preserve">Capex stays within the</w:t>
      </w:r>
      <w:r>
        <w:t xml:space="preserve"> </w:t>
      </w:r>
      <m:oMath>
        <m:r>
          <m:t>5.5</m:t>
        </m:r>
        <m:r>
          <m:rPr>
            <m:sty m:val="p"/>
          </m:rPr>
          <m:t>–</m:t>
        </m:r>
      </m:oMath>
      <w:r>
        <w:rPr>
          <w:b/>
          <w:bCs/>
        </w:rPr>
        <w:t xml:space="preserve">5.9 billion</w:t>
      </w:r>
      <w:r>
        <w:t xml:space="preserve"> </w:t>
      </w:r>
      <w:r>
        <w:t xml:space="preserve">full-year range.</w:t>
      </w:r>
    </w:p>
    <w:p>
      <w:pPr>
        <w:pStyle w:val="Compact"/>
        <w:numPr>
          <w:ilvl w:val="0"/>
          <w:numId w:val="1005"/>
        </w:numPr>
      </w:pPr>
      <w:r>
        <w:t xml:space="preserve">Principal debt declines materially, keeping the $10 billion milestone visibly within reach.</w:t>
      </w:r>
    </w:p>
    <w:p>
      <w:pPr>
        <w:pStyle w:val="Compact"/>
        <w:numPr>
          <w:ilvl w:val="0"/>
          <w:numId w:val="1005"/>
        </w:numPr>
      </w:pPr>
      <w:r>
        <w:t xml:space="preserve">Management maintains a disciplined 2027 capital outlook and articulates a credible path to lower sustaining capital and dividend growth.</w:t>
      </w:r>
    </w:p>
    <w:bookmarkEnd w:id="17"/>
    <w:bookmarkStart w:id="18" w:name="what-could-disappoint"/>
    <w:p>
      <w:pPr>
        <w:pStyle w:val="Heading2"/>
      </w:pPr>
      <w:r>
        <w:t xml:space="preserve">What could disappoint?</w:t>
      </w:r>
    </w:p>
    <w:p>
      <w:pPr>
        <w:pStyle w:val="Compact"/>
        <w:numPr>
          <w:ilvl w:val="0"/>
          <w:numId w:val="1006"/>
        </w:numPr>
      </w:pPr>
      <w:r>
        <w:t xml:space="preserve">A larger-than-expected Middle East production or sulfur-logistics impact.</w:t>
      </w:r>
    </w:p>
    <w:p>
      <w:pPr>
        <w:pStyle w:val="Compact"/>
        <w:numPr>
          <w:ilvl w:val="0"/>
          <w:numId w:val="1006"/>
        </w:numPr>
      </w:pPr>
      <w:r>
        <w:t xml:space="preserve">Weak free-cash-flow conversion despite high commodity prices.</w:t>
      </w:r>
    </w:p>
    <w:p>
      <w:pPr>
        <w:pStyle w:val="Compact"/>
        <w:numPr>
          <w:ilvl w:val="0"/>
          <w:numId w:val="1006"/>
        </w:numPr>
      </w:pPr>
      <w:r>
        <w:t xml:space="preserve">Higher-than-expected capex or service-cost inflation.</w:t>
      </w:r>
    </w:p>
    <w:p>
      <w:pPr>
        <w:pStyle w:val="Compact"/>
        <w:numPr>
          <w:ilvl w:val="0"/>
          <w:numId w:val="1006"/>
        </w:numPr>
      </w:pPr>
      <w:r>
        <w:t xml:space="preserve">Materially weaker midstream results as timing gains unwind.</w:t>
      </w:r>
    </w:p>
    <w:p>
      <w:pPr>
        <w:pStyle w:val="Compact"/>
        <w:numPr>
          <w:ilvl w:val="0"/>
          <w:numId w:val="1006"/>
        </w:numPr>
      </w:pPr>
      <w:r>
        <w:t xml:space="preserve">A larger derivative loss or less favorable realized-price capture than investors expect.</w:t>
      </w:r>
    </w:p>
    <w:p>
      <w:pPr>
        <w:pStyle w:val="Compact"/>
        <w:numPr>
          <w:ilvl w:val="0"/>
          <w:numId w:val="1006"/>
        </w:numPr>
      </w:pPr>
      <w:r>
        <w:t xml:space="preserve">A delay or cost escalation at STRATOS, where OXY previously identified an issue involving non-process facility components after Phase 1 commissioning.</w:t>
      </w:r>
    </w:p>
    <w:p>
      <w:pPr>
        <w:pStyle w:val="Compact"/>
        <w:numPr>
          <w:ilvl w:val="0"/>
          <w:numId w:val="1006"/>
        </w:numPr>
      </w:pPr>
      <w:r>
        <w:t xml:space="preserve">Ambiguity around post-$10 billion debt capital allocation, particularly if investors expect more explicit buyback or dividend commitments.</w:t>
      </w:r>
    </w:p>
    <w:bookmarkEnd w:id="18"/>
    <w:bookmarkStart w:id="19" w:name="bottom-line"/>
    <w:p>
      <w:pPr>
        <w:pStyle w:val="Heading2"/>
      </w:pPr>
      <w:r>
        <w:t xml:space="preserve">Bottom line</w:t>
      </w:r>
    </w:p>
    <w:p>
      <w:pPr>
        <w:pStyle w:val="FirstParagraph"/>
      </w:pPr>
      <w:r>
        <w:t xml:space="preserve">OXY’s 2Q26 report is likely to be judged primarily on</w:t>
      </w:r>
      <w:r>
        <w:t xml:space="preserve"> </w:t>
      </w:r>
      <w:r>
        <w:rPr>
          <w:b/>
          <w:bCs/>
        </w:rPr>
        <w:t xml:space="preserve">cash flow, debt reduction, and execution quality</w:t>
      </w:r>
      <w:r>
        <w:t xml:space="preserve">, not the reported EPS headline. The OxyChem sale makes year-over-year comparability imperfect, while hedging and Middle East-related disruptions may add noise to quarterly earnings.</w:t>
      </w:r>
    </w:p>
    <w:p>
      <w:pPr>
        <w:pStyle w:val="BodyText"/>
      </w:pPr>
      <w:r>
        <w:t xml:space="preserve">The more durable thesis rests on whether OXY can show that its domestic resource base, operating efficiencies, EOR optimization, and much lower interest burden are translating into structurally higher free cash flow. A clean operational quarter and another step down in debt would reinforce the case that OXY is transitioning from a deleveraging story to a more flexible capital-return story.</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2026-08-05T01:39:45Z</dcterms:created>
  <dcterms:modified xsi:type="dcterms:W3CDTF">2026-08-05T01:39:45Z</dcterms:modified>
</cp:coreProperties>
</file>

<file path=docProps/custom.xml><?xml version="1.0" encoding="utf-8"?>
<Properties xmlns="http://schemas.openxmlformats.org/officeDocument/2006/custom-properties" xmlns:vt="http://schemas.openxmlformats.org/officeDocument/2006/docPropsVTypes"/>
</file>