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Occidental Petroleum (OXY)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Occidental Petroleum Corporation</w:t>
            </w:r>
          </w:p>
        </w:tc>
      </w:tr>
      <w:tr>
        <w:tc>
          <w:tcPr>
            <w:tcW w:type="dxa" w:w="4320"/>
          </w:tcPr>
          <w:p>
            <w:r>
              <w:rPr>
                <w:rFonts w:ascii="Calibri" w:hAnsi="Calibri"/>
                <w:b/>
                <w:sz w:val="22"/>
              </w:rPr>
              <w:t>Ticker</w:t>
            </w:r>
          </w:p>
        </w:tc>
        <w:tc>
          <w:tcPr>
            <w:tcW w:type="dxa" w:w="4320"/>
          </w:tcPr>
          <w:p>
            <w:r>
              <w:rPr>
                <w:rFonts w:ascii="Calibri" w:hAnsi="Calibri"/>
                <w:sz w:val="22"/>
              </w:rPr>
              <w:t>OXY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Release Date</w:t>
            </w:r>
          </w:p>
        </w:tc>
        <w:tc>
          <w:tcPr>
            <w:tcW w:type="dxa" w:w="4320"/>
          </w:tcPr>
          <w:p>
            <w:r>
              <w:rPr>
                <w:rFonts w:ascii="Calibri" w:hAnsi="Calibri"/>
                <w:sz w:val="22"/>
              </w:rPr>
              <w:t>August 5, 2026</w:t>
            </w:r>
          </w:p>
        </w:tc>
      </w:tr>
      <w:tr>
        <w:tc>
          <w:tcPr>
            <w:tcW w:type="dxa" w:w="4320"/>
          </w:tcPr>
          <w:p>
            <w:r>
              <w:rPr>
                <w:rFonts w:ascii="Calibri" w:hAnsi="Calibri"/>
                <w:b/>
                <w:sz w:val="22"/>
              </w:rPr>
              <w:t>Conference Call Date</w:t>
            </w:r>
          </w:p>
        </w:tc>
        <w:tc>
          <w:tcPr>
            <w:tcW w:type="dxa" w:w="4320"/>
          </w:tcPr>
          <w:p>
            <w:r>
              <w:rPr>
                <w:rFonts w:ascii="Calibri" w:hAnsi="Calibri"/>
                <w:sz w:val="22"/>
              </w:rPr>
              <w:t>August 6, 2026 at 1:00 PM ET</w:t>
            </w:r>
          </w:p>
        </w:tc>
      </w:tr>
      <w:tr>
        <w:tc>
          <w:tcPr>
            <w:tcW w:type="dxa" w:w="4320"/>
          </w:tcPr>
          <w:p>
            <w:r>
              <w:rPr>
                <w:rFonts w:ascii="Calibri" w:hAnsi="Calibri"/>
                <w:b/>
                <w:sz w:val="22"/>
              </w:rPr>
              <w:t>Prepared Date</w:t>
            </w:r>
          </w:p>
        </w:tc>
        <w:tc>
          <w:tcPr>
            <w:tcW w:type="dxa" w:w="4320"/>
          </w:tcPr>
          <w:p>
            <w:r>
              <w:rPr>
                <w:rFonts w:ascii="Calibri" w:hAnsi="Calibri"/>
                <w:sz w:val="22"/>
              </w:rPr>
              <w:t>August 4,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OXY’s Q2 2026 print is constructive — a high oil price environment driven by the U.S.-Iran conflict has materially lifted realized prices above Q1 levels, and the company’s July 10 Earnings Considerations 8-K confirmed worldwide oil realizations of </w:t>
      </w:r>
      <w:r>
        <w:rPr>
          <w:rFonts w:ascii="Calibri" w:hAnsi="Calibri"/>
          <w:b/>
          <w:color w:val="525866"/>
          <w:sz w:val="22"/>
        </w:rPr>
        <w:t>$96.78/Bbl</w:t>
      </w:r>
      <w:r>
        <w:rPr>
          <w:rFonts w:ascii="Calibri" w:hAnsi="Calibri"/>
          <w:color w:val="525866"/>
          <w:sz w:val="22"/>
        </w:rPr>
        <w:t xml:space="preserve"> (vs. WTI of $92.79), suggesting a strong commodity tailwind; the single biggest swing factor is whether midstream gas marketing can again outperform, given that the Waha-to-Gulf Coast spread that drove Q1’s blowout midstream beat has begun to narrow as new pipeline capacity comes online.</w:t>
      </w:r>
    </w:p>
    <w:p>
      <w:r>
        <w:rPr>
          <w:rFonts w:ascii="Calibri" w:hAnsi="Calibri"/>
          <w:color w:val="525866"/>
          <w:sz w:val="22"/>
        </w:rPr>
        <w:t xml:space="preserve">Heading into Q2 2026 results, OXY faces a </w:t>
      </w:r>
      <w:r>
        <w:rPr>
          <w:rFonts w:ascii="Calibri" w:hAnsi="Calibri"/>
          <w:b/>
          <w:color w:val="525866"/>
          <w:sz w:val="22"/>
        </w:rPr>
        <w:t>favorable but nuanced bar</w:t>
      </w:r>
      <w:r>
        <w:rPr>
          <w:rFonts w:ascii="Calibri" w:hAnsi="Calibri"/>
          <w:color w:val="525866"/>
          <w:sz w:val="22"/>
        </w:rPr>
        <w:t xml:space="preserve">. Consensus operating EPS of ~$1.89 (Visible Alpha) represents a meaningful step-up from Q1’s $1.06 actual, largely reflecting the sharp rise in realized oil prices — WTI averaged $92.79/Bbl in Q2 vs. ~$69.91/Bbl in Q1 — and the company’s confirmed worldwide oil realization of $96.78/Bbl (104% of WTI). Management’s posture on the Q1 call was cautiously optimistic: they guided for continued strong U.S. onshore execution, flagged that Al Hosn operational constraints (which began mid-March) were expected to normalize before quarter-end, and raised full-year midstream guidance to $1.1 billion on the strength of gas marketing. Estimate revisions have been sharply upward since the Q1 print — the 2Q26 consensus EPS has risen from ~$0.62 at the time of last earnings to ~$1.89 today — reflecting the oil price surge, though the stock has given back some of those gains as the market weighs geopolitical uncertainty and the Strait of Hormuz situation. The stock setup is mixed: OXY has outperformed on operational execution but trades at a compressed multiple as investors await proof of the $10 billion debt milestone and clarity on preferred equity redemption. The key wildcard is the </w:t>
      </w:r>
      <w:r>
        <w:rPr>
          <w:rFonts w:ascii="Calibri" w:hAnsi="Calibri"/>
          <w:b/>
          <w:color w:val="525866"/>
          <w:sz w:val="22"/>
        </w:rPr>
        <w:t>Strait of Hormuz / Middle East resolution trajectory</w:t>
      </w:r>
      <w:r>
        <w:rPr>
          <w:rFonts w:ascii="Calibri" w:hAnsi="Calibri"/>
          <w:color w:val="525866"/>
          <w:sz w:val="22"/>
        </w:rPr>
        <w:t>: a ceasefire or reopening of the strait could sharply reduce the oil price premium that is driving the current beat setup, while continued disruption supports elevated realizations but introduces operational uncertainty at Al Hosn and sulfur logistics.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high bar on EPS given the oil price surge, but the bigger swing factor is midstream — whether gas marketing optimization can again outperform guidance as the Waha spread narrows, and whether Al Hosn normalization delivered the expected production recovery.</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(Q2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Operating EPS (Diluted)</w:t>
            </w:r>
          </w:p>
        </w:tc>
        <w:tc>
          <w:tcPr>
            <w:tcW w:type="dxa" w:w="1234"/>
          </w:tcPr>
          <w:p>
            <w:r>
              <w:rPr>
                <w:rFonts w:ascii="Calibri" w:hAnsi="Calibri"/>
                <w:sz w:val="22"/>
              </w:rPr>
              <w:t>$1.06</w:t>
            </w:r>
          </w:p>
        </w:tc>
        <w:tc>
          <w:tcPr>
            <w:tcW w:type="dxa" w:w="1234"/>
          </w:tcPr>
          <w:p>
            <w:r>
              <w:rPr>
                <w:rFonts w:ascii="Calibri" w:hAnsi="Calibri"/>
                <w:sz w:val="22"/>
              </w:rPr>
              <w:t>$0.39</w:t>
            </w:r>
          </w:p>
        </w:tc>
        <w:tc>
          <w:tcPr>
            <w:tcW w:type="dxa" w:w="1234"/>
          </w:tcPr>
          <w:p>
            <w:r>
              <w:rPr>
                <w:rFonts w:ascii="Calibri" w:hAnsi="Calibri"/>
                <w:sz w:val="22"/>
              </w:rPr>
              <w:t>$1.89</w:t>
            </w:r>
          </w:p>
        </w:tc>
        <w:tc>
          <w:tcPr>
            <w:tcW w:type="dxa" w:w="1234"/>
          </w:tcPr>
          <w:p>
            <w:r>
              <w:rPr>
                <w:rFonts w:ascii="Calibri" w:hAnsi="Calibri"/>
                <w:b/>
                <w:color w:val="30A46C"/>
                <w:sz w:val="22"/>
              </w:rPr>
              <w:t>+385% YoY</w:t>
            </w:r>
          </w:p>
        </w:tc>
        <w:tc>
          <w:tcPr>
            <w:tcW w:type="dxa" w:w="1234"/>
          </w:tcPr>
          <w:p>
            <w:r>
              <w:rPr>
                <w:rFonts w:ascii="Calibri" w:hAnsi="Calibri"/>
                <w:sz w:val="22"/>
              </w:rPr>
              <w:t>No specific EPS guidance issued</w:t>
            </w:r>
          </w:p>
        </w:tc>
        <w:tc>
          <w:tcPr>
            <w:tcW w:type="dxa" w:w="1234"/>
          </w:tcPr>
          <w:p>
            <w:r>
              <w:rPr>
                <w:rFonts w:ascii="Calibri" w:hAnsi="Calibri"/>
                <w:sz w:val="22"/>
              </w:rPr>
              <w:t>N/A</w:t>
            </w:r>
          </w:p>
        </w:tc>
      </w:tr>
      <w:tr>
        <w:tc>
          <w:tcPr>
            <w:tcW w:type="dxa" w:w="1234"/>
          </w:tcPr>
          <w:p>
            <w:r>
              <w:rPr>
                <w:rFonts w:ascii="Calibri" w:hAnsi="Calibri"/>
                <w:sz w:val="22"/>
              </w:rPr>
              <w:t>Total Production (Mboe/d, Upstream)</w:t>
            </w:r>
          </w:p>
        </w:tc>
        <w:tc>
          <w:tcPr>
            <w:tcW w:type="dxa" w:w="1234"/>
          </w:tcPr>
          <w:p>
            <w:r>
              <w:rPr>
                <w:rFonts w:ascii="Calibri" w:hAnsi="Calibri"/>
                <w:sz w:val="22"/>
              </w:rPr>
              <w:t>1,426 Mboe/d</w:t>
            </w:r>
          </w:p>
        </w:tc>
        <w:tc>
          <w:tcPr>
            <w:tcW w:type="dxa" w:w="1234"/>
          </w:tcPr>
          <w:p>
            <w:r>
              <w:rPr>
                <w:rFonts w:ascii="Calibri" w:hAnsi="Calibri"/>
                <w:sz w:val="22"/>
              </w:rPr>
              <w:t>1,400 Mboe/d</w:t>
            </w:r>
          </w:p>
        </w:tc>
        <w:tc>
          <w:tcPr>
            <w:tcW w:type="dxa" w:w="1234"/>
          </w:tcPr>
          <w:p>
            <w:r>
              <w:rPr>
                <w:rFonts w:ascii="Calibri" w:hAnsi="Calibri"/>
                <w:sz w:val="22"/>
              </w:rPr>
              <w:t>~1,416 Mboe/d</w:t>
            </w:r>
          </w:p>
        </w:tc>
        <w:tc>
          <w:tcPr>
            <w:tcW w:type="dxa" w:w="1234"/>
          </w:tcPr>
          <w:p>
            <w:r>
              <w:rPr>
                <w:rFonts w:ascii="Calibri" w:hAnsi="Calibri"/>
                <w:sz w:val="22"/>
              </w:rPr>
              <w:t>+1.1% YoY</w:t>
            </w:r>
          </w:p>
        </w:tc>
        <w:tc>
          <w:tcPr>
            <w:tcW w:type="dxa" w:w="1234"/>
          </w:tcPr>
          <w:p>
            <w:r>
              <w:rPr>
                <w:rFonts w:ascii="Calibri" w:hAnsi="Calibri"/>
                <w:sz w:val="22"/>
              </w:rPr>
              <w:t>Guided lower vs. Q1 due to Al Hosn constraints &amp; EOR optimization; strong U.S. onshore to partially offset</w:t>
            </w:r>
          </w:p>
        </w:tc>
        <w:tc>
          <w:tcPr>
            <w:tcW w:type="dxa" w:w="1234"/>
          </w:tcPr>
          <w:p>
            <w:r>
              <w:rPr>
                <w:rFonts w:ascii="Calibri" w:hAnsi="Calibri"/>
                <w:sz w:val="22"/>
              </w:rPr>
              <w:t>Approx. in line with guidance midpoint</w:t>
            </w:r>
          </w:p>
        </w:tc>
      </w:tr>
      <w:tr>
        <w:tc>
          <w:tcPr>
            <w:tcW w:type="dxa" w:w="1234"/>
          </w:tcPr>
          <w:p>
            <w:r>
              <w:rPr>
                <w:rFonts w:ascii="Calibri" w:hAnsi="Calibri"/>
                <w:sz w:val="22"/>
              </w:rPr>
              <w:t>Domestic LOE per BOE (Upstream)</w:t>
            </w:r>
          </w:p>
        </w:tc>
        <w:tc>
          <w:tcPr>
            <w:tcW w:type="dxa" w:w="1234"/>
          </w:tcPr>
          <w:p>
            <w:r>
              <w:rPr>
                <w:rFonts w:ascii="Calibri" w:hAnsi="Calibri"/>
                <w:sz w:val="22"/>
              </w:rPr>
              <w:t>$8.70/BOE</w:t>
            </w:r>
          </w:p>
        </w:tc>
        <w:tc>
          <w:tcPr>
            <w:tcW w:type="dxa" w:w="1234"/>
          </w:tcPr>
          <w:p>
            <w:r>
              <w:rPr>
                <w:rFonts w:ascii="Calibri" w:hAnsi="Calibri"/>
                <w:sz w:val="22"/>
              </w:rPr>
              <w:t>$8.93/BOE</w:t>
            </w:r>
          </w:p>
        </w:tc>
        <w:tc>
          <w:tcPr>
            <w:tcW w:type="dxa" w:w="1234"/>
          </w:tcPr>
          <w:p>
            <w:r>
              <w:rPr>
                <w:rFonts w:ascii="Calibri" w:hAnsi="Calibri"/>
                <w:sz w:val="22"/>
              </w:rPr>
              <w:t>~$9.12/BOE</w:t>
            </w:r>
          </w:p>
        </w:tc>
        <w:tc>
          <w:tcPr>
            <w:tcW w:type="dxa" w:w="1234"/>
          </w:tcPr>
          <w:p>
            <w:r>
              <w:rPr>
                <w:rFonts w:ascii="Calibri" w:hAnsi="Calibri"/>
                <w:b/>
                <w:color w:val="E5484D"/>
                <w:sz w:val="22"/>
              </w:rPr>
              <w:t>+2.1% YoY</w:t>
            </w:r>
          </w:p>
        </w:tc>
        <w:tc>
          <w:tcPr>
            <w:tcW w:type="dxa" w:w="1234"/>
          </w:tcPr>
          <w:p>
            <w:r>
              <w:rPr>
                <w:rFonts w:ascii="Calibri" w:hAnsi="Calibri"/>
                <w:sz w:val="22"/>
              </w:rPr>
              <w:t>Maintained prior guidance; CO2 cost pressure offset by EOR optimization benefits</w:t>
            </w:r>
          </w:p>
        </w:tc>
        <w:tc>
          <w:tcPr>
            <w:tcW w:type="dxa" w:w="1234"/>
          </w:tcPr>
          <w:p>
            <w:r>
              <w:rPr>
                <w:rFonts w:ascii="Calibri" w:hAnsi="Calibri"/>
                <w:sz w:val="22"/>
              </w:rPr>
              <w:t>Consensus slightly above guidance midpoint</w:t>
            </w:r>
          </w:p>
        </w:tc>
      </w:tr>
      <w:tr>
        <w:tc>
          <w:tcPr>
            <w:tcW w:type="dxa" w:w="1234"/>
          </w:tcPr>
          <w:p>
            <w:r>
              <w:rPr>
                <w:rFonts w:ascii="Calibri" w:hAnsi="Calibri"/>
                <w:sz w:val="22"/>
              </w:rPr>
              <w:t>Free Cash Flow (FCF)</w:t>
            </w:r>
          </w:p>
        </w:tc>
        <w:tc>
          <w:tcPr>
            <w:tcW w:type="dxa" w:w="1234"/>
          </w:tcPr>
          <w:p>
            <w:r>
              <w:rPr>
                <w:rFonts w:ascii="Calibri" w:hAnsi="Calibri"/>
                <w:sz w:val="22"/>
              </w:rPr>
              <w:t>$1.586B</w:t>
            </w:r>
          </w:p>
        </w:tc>
        <w:tc>
          <w:tcPr>
            <w:tcW w:type="dxa" w:w="1234"/>
          </w:tcPr>
          <w:p>
            <w:r>
              <w:rPr>
                <w:rFonts w:ascii="Calibri" w:hAnsi="Calibri"/>
                <w:sz w:val="22"/>
              </w:rPr>
              <w:t>$0.934B</w:t>
            </w:r>
          </w:p>
        </w:tc>
        <w:tc>
          <w:tcPr>
            <w:tcW w:type="dxa" w:w="1234"/>
          </w:tcPr>
          <w:p>
            <w:r>
              <w:rPr>
                <w:rFonts w:ascii="Calibri" w:hAnsi="Calibri"/>
                <w:sz w:val="22"/>
              </w:rPr>
              <w:t>~$2.54B</w:t>
            </w:r>
          </w:p>
        </w:tc>
        <w:tc>
          <w:tcPr>
            <w:tcW w:type="dxa" w:w="1234"/>
          </w:tcPr>
          <w:p>
            <w:r>
              <w:rPr>
                <w:rFonts w:ascii="Calibri" w:hAnsi="Calibri"/>
                <w:b/>
                <w:color w:val="30A46C"/>
                <w:sz w:val="22"/>
              </w:rPr>
              <w:t>+172% YoY</w:t>
            </w:r>
          </w:p>
        </w:tc>
        <w:tc>
          <w:tcPr>
            <w:tcW w:type="dxa" w:w="1234"/>
          </w:tcPr>
          <w:p>
            <w:r>
              <w:rPr>
                <w:rFonts w:ascii="Calibri" w:hAnsi="Calibri"/>
                <w:sz w:val="22"/>
              </w:rPr>
              <w:t>No specific FCF guidance; driven by oil price &amp; cost savings</w:t>
            </w:r>
          </w:p>
        </w:tc>
        <w:tc>
          <w:tcPr>
            <w:tcW w:type="dxa" w:w="1234"/>
          </w:tcPr>
          <w:p>
            <w:r>
              <w:rPr>
                <w:rFonts w:ascii="Calibri" w:hAnsi="Calibri"/>
                <w:sz w:val="22"/>
              </w:rPr>
              <w:t>N/A</w:t>
            </w:r>
          </w:p>
        </w:tc>
      </w:tr>
      <w:tr>
        <w:tc>
          <w:tcPr>
            <w:tcW w:type="dxa" w:w="1234"/>
          </w:tcPr>
          <w:p>
            <w:r>
              <w:rPr>
                <w:rFonts w:ascii="Calibri" w:hAnsi="Calibri"/>
                <w:sz w:val="22"/>
              </w:rPr>
              <w:t>Upstream CapEx</w:t>
            </w:r>
          </w:p>
        </w:tc>
        <w:tc>
          <w:tcPr>
            <w:tcW w:type="dxa" w:w="1234"/>
          </w:tcPr>
          <w:p>
            <w:r>
              <w:rPr>
                <w:rFonts w:ascii="Calibri" w:hAnsi="Calibri"/>
                <w:sz w:val="22"/>
              </w:rPr>
              <w:t>$1.380B</w:t>
            </w:r>
          </w:p>
        </w:tc>
        <w:tc>
          <w:tcPr>
            <w:tcW w:type="dxa" w:w="1234"/>
          </w:tcPr>
          <w:p>
            <w:r>
              <w:rPr>
                <w:rFonts w:ascii="Calibri" w:hAnsi="Calibri"/>
                <w:sz w:val="22"/>
              </w:rPr>
              <w:t>$1.517B</w:t>
            </w:r>
          </w:p>
        </w:tc>
        <w:tc>
          <w:tcPr>
            <w:tcW w:type="dxa" w:w="1234"/>
          </w:tcPr>
          <w:p>
            <w:r>
              <w:rPr>
                <w:rFonts w:ascii="Calibri" w:hAnsi="Calibri"/>
                <w:sz w:val="22"/>
              </w:rPr>
              <w:t>~$1.378B</w:t>
            </w:r>
          </w:p>
        </w:tc>
        <w:tc>
          <w:tcPr>
            <w:tcW w:type="dxa" w:w="1234"/>
          </w:tcPr>
          <w:p>
            <w:r>
              <w:rPr>
                <w:rFonts w:ascii="Calibri" w:hAnsi="Calibri"/>
                <w:b/>
                <w:color w:val="30A46C"/>
                <w:sz w:val="22"/>
              </w:rPr>
              <w:t>-9.2% YoY</w:t>
            </w:r>
          </w:p>
        </w:tc>
        <w:tc>
          <w:tcPr>
            <w:tcW w:type="dxa" w:w="1234"/>
          </w:tcPr>
          <w:p>
            <w:r>
              <w:rPr>
                <w:rFonts w:ascii="Calibri" w:hAnsi="Calibri"/>
                <w:sz w:val="22"/>
              </w:rPr>
              <w:t>Full-year guidance $5.5B–$5.9B; Q2 expected higher than Q1</w:t>
            </w:r>
          </w:p>
        </w:tc>
        <w:tc>
          <w:tcPr>
            <w:tcW w:type="dxa" w:w="1234"/>
          </w:tcPr>
          <w:p>
            <w:r>
              <w:rPr>
                <w:rFonts w:ascii="Calibri" w:hAnsi="Calibri"/>
                <w:sz w:val="22"/>
              </w:rPr>
              <w:t>Consensus in line with guidance range</w:t>
            </w:r>
          </w:p>
        </w:tc>
      </w:tr>
      <w:tr>
        <w:tc>
          <w:tcPr>
            <w:tcW w:type="dxa" w:w="1234"/>
          </w:tcPr>
          <w:p>
            <w:r>
              <w:rPr>
                <w:rFonts w:ascii="Calibri" w:hAnsi="Calibri"/>
                <w:sz w:val="22"/>
              </w:rPr>
              <w:t>Worldwide Oil Realized Price ($/Bbl)</w:t>
            </w:r>
          </w:p>
        </w:tc>
        <w:tc>
          <w:tcPr>
            <w:tcW w:type="dxa" w:w="1234"/>
          </w:tcPr>
          <w:p>
            <w:r>
              <w:rPr>
                <w:rFonts w:ascii="Calibri" w:hAnsi="Calibri"/>
                <w:sz w:val="22"/>
              </w:rPr>
              <w:t>$69.91/Bbl</w:t>
            </w:r>
          </w:p>
        </w:tc>
        <w:tc>
          <w:tcPr>
            <w:tcW w:type="dxa" w:w="1234"/>
          </w:tcPr>
          <w:p>
            <w:r>
              <w:rPr>
                <w:rFonts w:ascii="Calibri" w:hAnsi="Calibri"/>
                <w:sz w:val="22"/>
              </w:rPr>
              <w:t>$63.76/Bbl</w:t>
            </w:r>
          </w:p>
        </w:tc>
        <w:tc>
          <w:tcPr>
            <w:tcW w:type="dxa" w:w="1234"/>
          </w:tcPr>
          <w:p>
            <w:r>
              <w:rPr>
                <w:rFonts w:ascii="Calibri" w:hAnsi="Calibri"/>
                <w:sz w:val="22"/>
              </w:rPr>
              <w:t>$96.78/Bbl (confirmed per 8-K)</w:t>
            </w:r>
          </w:p>
        </w:tc>
        <w:tc>
          <w:tcPr>
            <w:tcW w:type="dxa" w:w="1234"/>
          </w:tcPr>
          <w:p>
            <w:r>
              <w:rPr>
                <w:rFonts w:ascii="Calibri" w:hAnsi="Calibri"/>
                <w:b/>
                <w:color w:val="30A46C"/>
                <w:sz w:val="22"/>
              </w:rPr>
              <w:t>+51.8% YoY</w:t>
            </w:r>
          </w:p>
        </w:tc>
        <w:tc>
          <w:tcPr>
            <w:tcW w:type="dxa" w:w="1234"/>
          </w:tcPr>
          <w:p>
            <w:r>
              <w:rPr>
                <w:rFonts w:ascii="Calibri" w:hAnsi="Calibri"/>
                <w:sz w:val="22"/>
              </w:rPr>
              <w:t>Confirmed in July 10 Earnings Considerations 8-K</w:t>
            </w:r>
          </w:p>
        </w:tc>
        <w:tc>
          <w:tcPr>
            <w:tcW w:type="dxa" w:w="1234"/>
          </w:tcPr>
          <w:p>
            <w:r>
              <w:rPr>
                <w:rFonts w:ascii="Calibri" w:hAnsi="Calibri"/>
                <w:sz w:val="22"/>
              </w:rPr>
              <w:t>Actual confirmed; 104% of WTI avg</w:t>
            </w:r>
          </w:p>
        </w:tc>
      </w:tr>
    </w:tbl>
    <w:p>
      <w:r>
        <w:rPr>
          <w:rFonts w:ascii="Calibri" w:hAnsi="Calibri"/>
          <w:b/>
          <w:color w:val="525866"/>
          <w:sz w:val="22"/>
        </w:rPr>
        <w:t xml:space="preserve">Sources: </w:t>
      </w:r>
      <w:r>
        <w:rPr>
          <w:rFonts w:ascii="Calibri" w:hAnsi="Calibri"/>
          <w:i/>
          <w:color w:val="525866"/>
          <w:sz w:val="22"/>
        </w:rPr>
        <w:t>Visible Alpha Consensus and Actuals Data (EPS, Production, LOE, FCF, CapEx); OXY Q1 2026 Earnings Release (May 5, 2026); OXY Q2 2026 Earnings Considerations 8-K (July 10, 2026). Note: Q2 2026 consensus estimates as of August 4, 2026. Worldwide oil realized price for Q2 2026 confirmed in the July 10, 2026 Earnings Considerations 8-K filing.</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Operating EPS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$1.06</w:t>
            </w:r>
          </w:p>
        </w:tc>
        <w:tc>
          <w:tcPr>
            <w:tcW w:type="dxa" w:w="1728"/>
          </w:tcPr>
          <w:p>
            <w:r>
              <w:rPr>
                <w:rFonts w:ascii="Calibri" w:hAnsi="Calibri"/>
                <w:sz w:val="22"/>
              </w:rPr>
              <w:t>$0.617</w:t>
            </w:r>
          </w:p>
        </w:tc>
        <w:tc>
          <w:tcPr>
            <w:tcW w:type="dxa" w:w="1728"/>
          </w:tcPr>
          <w:p>
            <w:r>
              <w:rPr>
                <w:rFonts w:ascii="Calibri" w:hAnsi="Calibri"/>
                <w:b/>
                <w:color w:val="30A46C"/>
                <w:sz w:val="22"/>
              </w:rPr>
              <w:t>+71.8%</w:t>
            </w:r>
          </w:p>
        </w:tc>
        <w:tc>
          <w:tcPr>
            <w:tcW w:type="dxa" w:w="1728"/>
          </w:tcPr>
          <w:p>
            <w:r>
              <w:rPr>
                <w:rFonts w:ascii="Calibri" w:hAnsi="Calibri"/>
                <w:sz w:val="22"/>
              </w:rPr>
              <w:t>Large Beat</w:t>
            </w:r>
          </w:p>
        </w:tc>
      </w:tr>
      <w:tr>
        <w:tc>
          <w:tcPr>
            <w:tcW w:type="dxa" w:w="1728"/>
          </w:tcPr>
          <w:p>
            <w:r>
              <w:rPr>
                <w:rFonts w:ascii="Calibri" w:hAnsi="Calibri"/>
                <w:sz w:val="22"/>
              </w:rPr>
              <w:t>Q4 2025</w:t>
            </w:r>
          </w:p>
        </w:tc>
        <w:tc>
          <w:tcPr>
            <w:tcW w:type="dxa" w:w="1728"/>
          </w:tcPr>
          <w:p>
            <w:r>
              <w:rPr>
                <w:rFonts w:ascii="Calibri" w:hAnsi="Calibri"/>
                <w:sz w:val="22"/>
              </w:rPr>
              <w:t>$0.31</w:t>
            </w:r>
          </w:p>
        </w:tc>
        <w:tc>
          <w:tcPr>
            <w:tcW w:type="dxa" w:w="1728"/>
          </w:tcPr>
          <w:p>
            <w:r>
              <w:rPr>
                <w:rFonts w:ascii="Calibri" w:hAnsi="Calibri"/>
                <w:sz w:val="22"/>
              </w:rPr>
              <w:t>$0.177</w:t>
            </w:r>
          </w:p>
        </w:tc>
        <w:tc>
          <w:tcPr>
            <w:tcW w:type="dxa" w:w="1728"/>
          </w:tcPr>
          <w:p>
            <w:r>
              <w:rPr>
                <w:rFonts w:ascii="Calibri" w:hAnsi="Calibri"/>
                <w:b/>
                <w:color w:val="30A46C"/>
                <w:sz w:val="22"/>
              </w:rPr>
              <w:t>+75.1%</w:t>
            </w:r>
          </w:p>
        </w:tc>
        <w:tc>
          <w:tcPr>
            <w:tcW w:type="dxa" w:w="1728"/>
          </w:tcPr>
          <w:p>
            <w:r>
              <w:rPr>
                <w:rFonts w:ascii="Calibri" w:hAnsi="Calibri"/>
                <w:sz w:val="22"/>
              </w:rPr>
              <w:t>Large Beat</w:t>
            </w:r>
          </w:p>
        </w:tc>
      </w:tr>
      <w:tr>
        <w:tc>
          <w:tcPr>
            <w:tcW w:type="dxa" w:w="1728"/>
          </w:tcPr>
          <w:p>
            <w:r>
              <w:rPr>
                <w:rFonts w:ascii="Calibri" w:hAnsi="Calibri"/>
                <w:sz w:val="22"/>
              </w:rPr>
              <w:t>Q3 2025</w:t>
            </w:r>
          </w:p>
        </w:tc>
        <w:tc>
          <w:tcPr>
            <w:tcW w:type="dxa" w:w="1728"/>
          </w:tcPr>
          <w:p>
            <w:r>
              <w:rPr>
                <w:rFonts w:ascii="Calibri" w:hAnsi="Calibri"/>
                <w:sz w:val="22"/>
              </w:rPr>
              <w:t>$0.64</w:t>
            </w:r>
          </w:p>
        </w:tc>
        <w:tc>
          <w:tcPr>
            <w:tcW w:type="dxa" w:w="1728"/>
          </w:tcPr>
          <w:p>
            <w:r>
              <w:rPr>
                <w:rFonts w:ascii="Calibri" w:hAnsi="Calibri"/>
                <w:sz w:val="22"/>
              </w:rPr>
              <w:t>$0.489</w:t>
            </w:r>
          </w:p>
        </w:tc>
        <w:tc>
          <w:tcPr>
            <w:tcW w:type="dxa" w:w="1728"/>
          </w:tcPr>
          <w:p>
            <w:r>
              <w:rPr>
                <w:rFonts w:ascii="Calibri" w:hAnsi="Calibri"/>
                <w:b/>
                <w:color w:val="30A46C"/>
                <w:sz w:val="22"/>
              </w:rPr>
              <w:t>+30.9%</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$0.39</w:t>
            </w:r>
          </w:p>
        </w:tc>
        <w:tc>
          <w:tcPr>
            <w:tcW w:type="dxa" w:w="1728"/>
          </w:tcPr>
          <w:p>
            <w:r>
              <w:rPr>
                <w:rFonts w:ascii="Calibri" w:hAnsi="Calibri"/>
                <w:sz w:val="22"/>
              </w:rPr>
              <w:t>$0.263</w:t>
            </w:r>
          </w:p>
        </w:tc>
        <w:tc>
          <w:tcPr>
            <w:tcW w:type="dxa" w:w="1728"/>
          </w:tcPr>
          <w:p>
            <w:r>
              <w:rPr>
                <w:rFonts w:ascii="Calibri" w:hAnsi="Calibri"/>
                <w:b/>
                <w:color w:val="30A46C"/>
                <w:sz w:val="22"/>
              </w:rPr>
              <w:t>+48.3%</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$0.87</w:t>
            </w:r>
          </w:p>
        </w:tc>
        <w:tc>
          <w:tcPr>
            <w:tcW w:type="dxa" w:w="1728"/>
          </w:tcPr>
          <w:p>
            <w:r>
              <w:rPr>
                <w:rFonts w:ascii="Calibri" w:hAnsi="Calibri"/>
                <w:sz w:val="22"/>
              </w:rPr>
              <w:t>$0.752</w:t>
            </w:r>
          </w:p>
        </w:tc>
        <w:tc>
          <w:tcPr>
            <w:tcW w:type="dxa" w:w="1728"/>
          </w:tcPr>
          <w:p>
            <w:r>
              <w:rPr>
                <w:rFonts w:ascii="Calibri" w:hAnsi="Calibri"/>
                <w:b/>
                <w:color w:val="30A46C"/>
                <w:sz w:val="22"/>
              </w:rPr>
              <w:t>+15.7%</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$0.80</w:t>
            </w:r>
          </w:p>
        </w:tc>
        <w:tc>
          <w:tcPr>
            <w:tcW w:type="dxa" w:w="1728"/>
          </w:tcPr>
          <w:p>
            <w:r>
              <w:rPr>
                <w:rFonts w:ascii="Calibri" w:hAnsi="Calibri"/>
                <w:sz w:val="22"/>
              </w:rPr>
              <w:t>$0.692</w:t>
            </w:r>
          </w:p>
        </w:tc>
        <w:tc>
          <w:tcPr>
            <w:tcW w:type="dxa" w:w="1728"/>
          </w:tcPr>
          <w:p>
            <w:r>
              <w:rPr>
                <w:rFonts w:ascii="Calibri" w:hAnsi="Calibri"/>
                <w:b/>
                <w:color w:val="30A46C"/>
                <w:sz w:val="22"/>
              </w:rPr>
              <w:t>+15.6%</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$1.00</w:t>
            </w:r>
          </w:p>
        </w:tc>
        <w:tc>
          <w:tcPr>
            <w:tcW w:type="dxa" w:w="1728"/>
          </w:tcPr>
          <w:p>
            <w:r>
              <w:rPr>
                <w:rFonts w:ascii="Calibri" w:hAnsi="Calibri"/>
                <w:sz w:val="22"/>
              </w:rPr>
              <w:t>$0.725</w:t>
            </w:r>
          </w:p>
        </w:tc>
        <w:tc>
          <w:tcPr>
            <w:tcW w:type="dxa" w:w="1728"/>
          </w:tcPr>
          <w:p>
            <w:r>
              <w:rPr>
                <w:rFonts w:ascii="Calibri" w:hAnsi="Calibri"/>
                <w:b/>
                <w:color w:val="30A46C"/>
                <w:sz w:val="22"/>
              </w:rPr>
              <w:t>+37.9%</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OXY has beaten operating EPS consensus in every reported quarter over the trailing seven periods, with surprise magnitudes ranging from +16% to +75% — a consistent pattern of conservative guidance and operational outperformance, particularly in midstream and domestic production, that sets a high bar for the market to reward further beats.</w:t>
      </w:r>
    </w:p>
    <w:p>
      <w:pPr>
        <w:pStyle w:val="Heading4"/>
      </w:pPr>
      <w:r>
        <w:rPr>
          <w:rFonts w:ascii="Calibri" w:hAnsi="Calibri"/>
          <w:b/>
          <w:color w:val="3B4259"/>
          <w:sz w:val="22"/>
        </w:rPr>
        <w:t>Total Production — Upstream (Mboe/d)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(Mboe/d)</w:t>
            </w:r>
          </w:p>
        </w:tc>
        <w:tc>
          <w:tcPr>
            <w:tcW w:type="dxa" w:w="1728"/>
            <w:shd w:val="clear" w:color="auto" w:fill="3B4259"/>
          </w:tcPr>
          <w:p>
            <w:r>
              <w:rPr>
                <w:rFonts w:ascii="Calibri" w:hAnsi="Calibri"/>
                <w:b/>
                <w:color w:val="FFFFFF"/>
                <w:sz w:val="22"/>
              </w:rPr>
              <w:t>Consensus (Mboe/d)</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1,426</w:t>
            </w:r>
          </w:p>
        </w:tc>
        <w:tc>
          <w:tcPr>
            <w:tcW w:type="dxa" w:w="1728"/>
          </w:tcPr>
          <w:p>
            <w:r>
              <w:rPr>
                <w:rFonts w:ascii="Calibri" w:hAnsi="Calibri"/>
                <w:sz w:val="22"/>
              </w:rPr>
              <w:t>1,405</w:t>
            </w:r>
          </w:p>
        </w:tc>
        <w:tc>
          <w:tcPr>
            <w:tcW w:type="dxa" w:w="1728"/>
          </w:tcPr>
          <w:p>
            <w:r>
              <w:rPr>
                <w:rFonts w:ascii="Calibri" w:hAnsi="Calibri"/>
                <w:b/>
                <w:color w:val="30A46C"/>
                <w:sz w:val="22"/>
              </w:rPr>
              <w:t>+1.5%</w:t>
            </w:r>
          </w:p>
        </w:tc>
        <w:tc>
          <w:tcPr>
            <w:tcW w:type="dxa" w:w="1728"/>
          </w:tcPr>
          <w:p>
            <w:r>
              <w:rPr>
                <w:rFonts w:ascii="Calibri" w:hAnsi="Calibri"/>
                <w:sz w:val="22"/>
              </w:rPr>
              <w:t>Beat (above high end of guidance)</w:t>
            </w:r>
          </w:p>
        </w:tc>
      </w:tr>
      <w:tr>
        <w:tc>
          <w:tcPr>
            <w:tcW w:type="dxa" w:w="1728"/>
          </w:tcPr>
          <w:p>
            <w:r>
              <w:rPr>
                <w:rFonts w:ascii="Calibri" w:hAnsi="Calibri"/>
                <w:sz w:val="22"/>
              </w:rPr>
              <w:t>Q4 2025</w:t>
            </w:r>
          </w:p>
        </w:tc>
        <w:tc>
          <w:tcPr>
            <w:tcW w:type="dxa" w:w="1728"/>
          </w:tcPr>
          <w:p>
            <w:r>
              <w:rPr>
                <w:rFonts w:ascii="Calibri" w:hAnsi="Calibri"/>
                <w:sz w:val="22"/>
              </w:rPr>
              <w:t>1,481</w:t>
            </w:r>
          </w:p>
        </w:tc>
        <w:tc>
          <w:tcPr>
            <w:tcW w:type="dxa" w:w="1728"/>
          </w:tcPr>
          <w:p>
            <w:r>
              <w:rPr>
                <w:rFonts w:ascii="Calibri" w:hAnsi="Calibri"/>
                <w:sz w:val="22"/>
              </w:rPr>
              <w:t>1,464</w:t>
            </w:r>
          </w:p>
        </w:tc>
        <w:tc>
          <w:tcPr>
            <w:tcW w:type="dxa" w:w="1728"/>
          </w:tcPr>
          <w:p>
            <w:r>
              <w:rPr>
                <w:rFonts w:ascii="Calibri" w:hAnsi="Calibri"/>
                <w:b/>
                <w:color w:val="30A46C"/>
                <w:sz w:val="22"/>
              </w:rPr>
              <w:t>+1.2%</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1,466</w:t>
            </w:r>
          </w:p>
        </w:tc>
        <w:tc>
          <w:tcPr>
            <w:tcW w:type="dxa" w:w="1728"/>
          </w:tcPr>
          <w:p>
            <w:r>
              <w:rPr>
                <w:rFonts w:ascii="Calibri" w:hAnsi="Calibri"/>
                <w:sz w:val="22"/>
              </w:rPr>
              <w:t>1,440</w:t>
            </w:r>
          </w:p>
        </w:tc>
        <w:tc>
          <w:tcPr>
            <w:tcW w:type="dxa" w:w="1728"/>
          </w:tcPr>
          <w:p>
            <w:r>
              <w:rPr>
                <w:rFonts w:ascii="Calibri" w:hAnsi="Calibri"/>
                <w:b/>
                <w:color w:val="30A46C"/>
                <w:sz w:val="22"/>
              </w:rPr>
              <w:t>+1.8%</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1,400</w:t>
            </w:r>
          </w:p>
        </w:tc>
        <w:tc>
          <w:tcPr>
            <w:tcW w:type="dxa" w:w="1728"/>
          </w:tcPr>
          <w:p>
            <w:r>
              <w:rPr>
                <w:rFonts w:ascii="Calibri" w:hAnsi="Calibri"/>
                <w:sz w:val="22"/>
              </w:rPr>
              <w:t>1,397</w:t>
            </w:r>
          </w:p>
        </w:tc>
        <w:tc>
          <w:tcPr>
            <w:tcW w:type="dxa" w:w="1728"/>
          </w:tcPr>
          <w:p>
            <w:r>
              <w:rPr>
                <w:rFonts w:ascii="Calibri" w:hAnsi="Calibri"/>
                <w:sz w:val="22"/>
              </w:rPr>
              <w:t>+0.2%</w:t>
            </w:r>
          </w:p>
        </w:tc>
        <w:tc>
          <w:tcPr>
            <w:tcW w:type="dxa" w:w="1728"/>
          </w:tcPr>
          <w:p>
            <w:r>
              <w:rPr>
                <w:rFonts w:ascii="Calibri" w:hAnsi="Calibri"/>
                <w:sz w:val="22"/>
              </w:rPr>
              <w:t>In Line</w:t>
            </w:r>
          </w:p>
        </w:tc>
      </w:tr>
      <w:tr>
        <w:tc>
          <w:tcPr>
            <w:tcW w:type="dxa" w:w="1728"/>
          </w:tcPr>
          <w:p>
            <w:r>
              <w:rPr>
                <w:rFonts w:ascii="Calibri" w:hAnsi="Calibri"/>
                <w:sz w:val="22"/>
              </w:rPr>
              <w:t>Q1 2025</w:t>
            </w:r>
          </w:p>
        </w:tc>
        <w:tc>
          <w:tcPr>
            <w:tcW w:type="dxa" w:w="1728"/>
          </w:tcPr>
          <w:p>
            <w:r>
              <w:rPr>
                <w:rFonts w:ascii="Calibri" w:hAnsi="Calibri"/>
                <w:sz w:val="22"/>
              </w:rPr>
              <w:t>1,391</w:t>
            </w:r>
          </w:p>
        </w:tc>
        <w:tc>
          <w:tcPr>
            <w:tcW w:type="dxa" w:w="1728"/>
          </w:tcPr>
          <w:p>
            <w:r>
              <w:rPr>
                <w:rFonts w:ascii="Calibri" w:hAnsi="Calibri"/>
                <w:sz w:val="22"/>
              </w:rPr>
              <w:t>1,394</w:t>
            </w:r>
          </w:p>
        </w:tc>
        <w:tc>
          <w:tcPr>
            <w:tcW w:type="dxa" w:w="1728"/>
          </w:tcPr>
          <w:p>
            <w:r>
              <w:rPr>
                <w:rFonts w:ascii="Calibri" w:hAnsi="Calibri"/>
                <w:b/>
                <w:color w:val="E5484D"/>
                <w:sz w:val="22"/>
              </w:rPr>
              <w:t>-0.2%</w:t>
            </w:r>
          </w:p>
        </w:tc>
        <w:tc>
          <w:tcPr>
            <w:tcW w:type="dxa" w:w="1728"/>
          </w:tcPr>
          <w:p>
            <w:r>
              <w:rPr>
                <w:rFonts w:ascii="Calibri" w:hAnsi="Calibri"/>
                <w:sz w:val="22"/>
              </w:rPr>
              <w:t>Slight Miss</w:t>
            </w:r>
          </w:p>
        </w:tc>
      </w:tr>
      <w:tr>
        <w:tc>
          <w:tcPr>
            <w:tcW w:type="dxa" w:w="1728"/>
          </w:tcPr>
          <w:p>
            <w:r>
              <w:rPr>
                <w:rFonts w:ascii="Calibri" w:hAnsi="Calibri"/>
                <w:sz w:val="22"/>
              </w:rPr>
              <w:t>Q4 2024</w:t>
            </w:r>
          </w:p>
        </w:tc>
        <w:tc>
          <w:tcPr>
            <w:tcW w:type="dxa" w:w="1728"/>
          </w:tcPr>
          <w:p>
            <w:r>
              <w:rPr>
                <w:rFonts w:ascii="Calibri" w:hAnsi="Calibri"/>
                <w:sz w:val="22"/>
              </w:rPr>
              <w:t>1,462</w:t>
            </w:r>
          </w:p>
        </w:tc>
        <w:tc>
          <w:tcPr>
            <w:tcW w:type="dxa" w:w="1728"/>
          </w:tcPr>
          <w:p>
            <w:r>
              <w:rPr>
                <w:rFonts w:ascii="Calibri" w:hAnsi="Calibri"/>
                <w:sz w:val="22"/>
              </w:rPr>
              <w:t>1,453</w:t>
            </w:r>
          </w:p>
        </w:tc>
        <w:tc>
          <w:tcPr>
            <w:tcW w:type="dxa" w:w="1728"/>
          </w:tcPr>
          <w:p>
            <w:r>
              <w:rPr>
                <w:rFonts w:ascii="Calibri" w:hAnsi="Calibri"/>
                <w:b/>
                <w:color w:val="30A46C"/>
                <w:sz w:val="22"/>
              </w:rPr>
              <w:t>+0.6%</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1,412</w:t>
            </w:r>
          </w:p>
        </w:tc>
        <w:tc>
          <w:tcPr>
            <w:tcW w:type="dxa" w:w="1728"/>
          </w:tcPr>
          <w:p>
            <w:r>
              <w:rPr>
                <w:rFonts w:ascii="Calibri" w:hAnsi="Calibri"/>
                <w:sz w:val="22"/>
              </w:rPr>
              <w:t>1,389</w:t>
            </w:r>
          </w:p>
        </w:tc>
        <w:tc>
          <w:tcPr>
            <w:tcW w:type="dxa" w:w="1728"/>
          </w:tcPr>
          <w:p>
            <w:r>
              <w:rPr>
                <w:rFonts w:ascii="Calibri" w:hAnsi="Calibri"/>
                <w:b/>
                <w:color w:val="30A46C"/>
                <w:sz w:val="22"/>
              </w:rPr>
              <w:t>+1.7%</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Production has beaten or met consensus in 6 of the last 7 reported quarters, with the domestic portfolio (Permian, Rockies, Gulf of America) consistently outperforming while international volumes (Al Hosn, Middle East) have been the source of variability. Q2 2026 faces a known headwind from Al Hosn constraints and EOR portfolio optimization, making the production beat/miss more binary than usual.</w:t>
      </w:r>
    </w:p>
    <w:p>
      <w:r>
        <w:rPr>
          <w:rFonts w:ascii="Calibri" w:hAnsi="Calibri"/>
          <w:b/>
          <w:color w:val="525866"/>
          <w:sz w:val="22"/>
        </w:rPr>
        <w:t xml:space="preserve">Source: </w:t>
      </w:r>
      <w:r>
        <w:rPr>
          <w:rFonts w:ascii="Calibri" w:hAnsi="Calibri"/>
          <w:i/>
          <w:color w:val="525866"/>
          <w:sz w:val="22"/>
        </w:rPr>
        <w:t>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shifted materially since the Q1 call — full-year midstream guidance was raised by ~$800M to a $1.1B midpoint, full-year production guidance midpoint was trimmed to 1.44M Boe/d, and the July 10 Earnings Considerations 8-K confirmed Q2 realized prices but flagged a $156M operating cash flow headwind from crude oil collar settlements; tone from incoming CEO Richard Jackson (effective June 1) is focused on organic development and free cash flow growth.</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6)</w:t>
            </w:r>
          </w:p>
        </w:tc>
        <w:tc>
          <w:tcPr>
            <w:tcW w:type="dxa" w:w="1728"/>
            <w:shd w:val="clear" w:color="auto" w:fill="3B4259"/>
          </w:tcPr>
          <w:p>
            <w:r>
              <w:rPr>
                <w:rFonts w:ascii="Calibri" w:hAnsi="Calibri"/>
                <w:b/>
                <w:color w:val="FFFFFF"/>
                <w:sz w:val="22"/>
              </w:rPr>
              <w:t>Revised Guidance (Post-Earnings)</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Full-Year Production (Mboe/d)</w:t>
            </w:r>
          </w:p>
        </w:tc>
        <w:tc>
          <w:tcPr>
            <w:tcW w:type="dxa" w:w="1728"/>
          </w:tcPr>
          <w:p>
            <w:r>
              <w:rPr>
                <w:rFonts w:ascii="Calibri" w:hAnsi="Calibri"/>
                <w:sz w:val="22"/>
              </w:rPr>
              <w:t>Midpoint adjusted to 1.44M Boe/d (from prior higher midpoint) due to Middle East disruptions &amp; EOR optimization</w:t>
            </w:r>
          </w:p>
        </w:tc>
        <w:tc>
          <w:tcPr>
            <w:tcW w:type="dxa" w:w="1728"/>
          </w:tcPr>
          <w:p>
            <w:r>
              <w:rPr>
                <w:rFonts w:ascii="Calibri" w:hAnsi="Calibri"/>
                <w:sz w:val="22"/>
              </w:rPr>
              <w:t>No further revision post-Q1 call</w:t>
            </w:r>
          </w:p>
        </w:tc>
        <w:tc>
          <w:tcPr>
            <w:tcW w:type="dxa" w:w="1728"/>
          </w:tcPr>
          <w:p>
            <w:r>
              <w:rPr>
                <w:rFonts w:ascii="Calibri" w:hAnsi="Calibri"/>
                <w:sz w:val="22"/>
              </w:rPr>
              <w:t>~1,426 Mboe/d (FY 2026)</w:t>
            </w:r>
          </w:p>
        </w:tc>
        <w:tc>
          <w:tcPr>
            <w:tcW w:type="dxa" w:w="1728"/>
          </w:tcPr>
          <w:p>
            <w:r>
              <w:rPr>
                <w:rFonts w:ascii="Calibri" w:hAnsi="Calibri"/>
                <w:sz w:val="22"/>
              </w:rPr>
              <w:t>↓ Lowered at Q1 earnings call (May 6); reflects Al Hosn constraints and EOR portfolio optimization; tone cautious on international volumes</w:t>
            </w:r>
          </w:p>
        </w:tc>
      </w:tr>
      <w:tr>
        <w:tc>
          <w:tcPr>
            <w:tcW w:type="dxa" w:w="1728"/>
          </w:tcPr>
          <w:p>
            <w:r>
              <w:rPr>
                <w:rFonts w:ascii="Calibri" w:hAnsi="Calibri"/>
                <w:sz w:val="22"/>
              </w:rPr>
              <w:t>Full-Year Midstream Pre-Tax Income</w:t>
            </w:r>
          </w:p>
        </w:tc>
        <w:tc>
          <w:tcPr>
            <w:tcW w:type="dxa" w:w="1728"/>
          </w:tcPr>
          <w:p>
            <w:r>
              <w:rPr>
                <w:rFonts w:ascii="Calibri" w:hAnsi="Calibri"/>
                <w:sz w:val="22"/>
              </w:rPr>
              <w:t>Raised to $1.1B midpoint (+~$800M vs. prior full-year guidance) on gas marketing outperformance</w:t>
            </w:r>
          </w:p>
        </w:tc>
        <w:tc>
          <w:tcPr>
            <w:tcW w:type="dxa" w:w="1728"/>
          </w:tcPr>
          <w:p>
            <w:r>
              <w:rPr>
                <w:rFonts w:ascii="Calibri" w:hAnsi="Calibri"/>
                <w:sz w:val="22"/>
              </w:rPr>
              <w:t>No further revision post-Q1 call</w:t>
            </w:r>
          </w:p>
        </w:tc>
        <w:tc>
          <w:tcPr>
            <w:tcW w:type="dxa" w:w="1728"/>
          </w:tcPr>
          <w:p>
            <w:r>
              <w:rPr>
                <w:rFonts w:ascii="Calibri" w:hAnsi="Calibri"/>
                <w:sz w:val="22"/>
              </w:rPr>
              <w:t>N/A — not tracked separately in VA consensus</w:t>
            </w:r>
          </w:p>
        </w:tc>
        <w:tc>
          <w:tcPr>
            <w:tcW w:type="dxa" w:w="1728"/>
          </w:tcPr>
          <w:p>
            <w:r>
              <w:rPr>
                <w:rFonts w:ascii="Calibri" w:hAnsi="Calibri"/>
                <w:sz w:val="22"/>
              </w:rPr>
              <w:t>↑ Raised at Q1 earnings call (May 6); driven by wide Waha-to-Gulf Coast spread; management noted spread expected to narrow in H2 as new pipeline capacity comes online</w:t>
            </w:r>
          </w:p>
        </w:tc>
      </w:tr>
      <w:tr>
        <w:tc>
          <w:tcPr>
            <w:tcW w:type="dxa" w:w="1728"/>
          </w:tcPr>
          <w:p>
            <w:r>
              <w:rPr>
                <w:rFonts w:ascii="Calibri" w:hAnsi="Calibri"/>
                <w:sz w:val="22"/>
              </w:rPr>
              <w:t>Full-Year CapEx</w:t>
            </w:r>
          </w:p>
        </w:tc>
        <w:tc>
          <w:tcPr>
            <w:tcW w:type="dxa" w:w="1728"/>
          </w:tcPr>
          <w:p>
            <w:r>
              <w:rPr>
                <w:rFonts w:ascii="Calibri" w:hAnsi="Calibri"/>
                <w:sz w:val="22"/>
              </w:rPr>
              <w:t>$5.5B–$5.9B; Q2 expected higher than Q1</w:t>
            </w:r>
          </w:p>
        </w:tc>
        <w:tc>
          <w:tcPr>
            <w:tcW w:type="dxa" w:w="1728"/>
          </w:tcPr>
          <w:p>
            <w:r>
              <w:rPr>
                <w:rFonts w:ascii="Calibri" w:hAnsi="Calibri"/>
                <w:sz w:val="22"/>
              </w:rPr>
              <w:t>No revision</w:t>
            </w:r>
          </w:p>
        </w:tc>
        <w:tc>
          <w:tcPr>
            <w:tcW w:type="dxa" w:w="1728"/>
          </w:tcPr>
          <w:p>
            <w:r>
              <w:rPr>
                <w:rFonts w:ascii="Calibri" w:hAnsi="Calibri"/>
                <w:sz w:val="22"/>
              </w:rPr>
              <w:t>~$5.37B (FY 2026 upstream)</w:t>
            </w:r>
          </w:p>
        </w:tc>
        <w:tc>
          <w:tcPr>
            <w:tcW w:type="dxa" w:w="1728"/>
          </w:tcPr>
          <w:p>
            <w:r>
              <w:rPr>
                <w:rFonts w:ascii="Calibri" w:hAnsi="Calibri"/>
                <w:sz w:val="22"/>
              </w:rPr>
              <w:t>Unchanged; activity weighted to H1; 2027 sustaining capital starting point anchored at $5.9B</w:t>
            </w:r>
          </w:p>
        </w:tc>
      </w:tr>
      <w:tr>
        <w:tc>
          <w:tcPr>
            <w:tcW w:type="dxa" w:w="1728"/>
          </w:tcPr>
          <w:p>
            <w:r>
              <w:rPr>
                <w:rFonts w:ascii="Calibri" w:hAnsi="Calibri"/>
                <w:sz w:val="22"/>
              </w:rPr>
              <w:t>Domestic LOE per BOE</w:t>
            </w:r>
          </w:p>
        </w:tc>
        <w:tc>
          <w:tcPr>
            <w:tcW w:type="dxa" w:w="1728"/>
          </w:tcPr>
          <w:p>
            <w:r>
              <w:rPr>
                <w:rFonts w:ascii="Calibri" w:hAnsi="Calibri"/>
                <w:sz w:val="22"/>
              </w:rPr>
              <w:t>Maintained prior guidance; CO2 cost pressure offset by EOR optimization benefits</w:t>
            </w:r>
          </w:p>
        </w:tc>
        <w:tc>
          <w:tcPr>
            <w:tcW w:type="dxa" w:w="1728"/>
          </w:tcPr>
          <w:p>
            <w:r>
              <w:rPr>
                <w:rFonts w:ascii="Calibri" w:hAnsi="Calibri"/>
                <w:sz w:val="22"/>
              </w:rPr>
              <w:t>No revision</w:t>
            </w:r>
          </w:p>
        </w:tc>
        <w:tc>
          <w:tcPr>
            <w:tcW w:type="dxa" w:w="1728"/>
          </w:tcPr>
          <w:p>
            <w:r>
              <w:rPr>
                <w:rFonts w:ascii="Calibri" w:hAnsi="Calibri"/>
                <w:sz w:val="22"/>
              </w:rPr>
              <w:t>~$9.12/BOE (Q2 2026)</w:t>
            </w:r>
          </w:p>
        </w:tc>
        <w:tc>
          <w:tcPr>
            <w:tcW w:type="dxa" w:w="1728"/>
          </w:tcPr>
          <w:p>
            <w:r>
              <w:rPr>
                <w:rFonts w:ascii="Calibri" w:hAnsi="Calibri"/>
                <w:sz w:val="22"/>
              </w:rPr>
              <w:t>Unchanged; management confident in $500M oil &amp; gas cost savings target for 2026; 7% new well cost improvement on track</w:t>
            </w:r>
          </w:p>
        </w:tc>
      </w:tr>
      <w:tr>
        <w:tc>
          <w:tcPr>
            <w:tcW w:type="dxa" w:w="1728"/>
          </w:tcPr>
          <w:p>
            <w:r>
              <w:rPr>
                <w:rFonts w:ascii="Calibri" w:hAnsi="Calibri"/>
                <w:sz w:val="22"/>
              </w:rPr>
              <w:t>Crude Oil Collar Settlements (Q2 2026)</w:t>
            </w:r>
          </w:p>
        </w:tc>
        <w:tc>
          <w:tcPr>
            <w:tcW w:type="dxa" w:w="1728"/>
          </w:tcPr>
          <w:p>
            <w:r>
              <w:rPr>
                <w:rFonts w:ascii="Calibri" w:hAnsi="Calibri"/>
                <w:sz w:val="22"/>
              </w:rPr>
              <w:t>100K Bbl/d hedged Mar–Dec 2026; floor $55 WTI, ceiling ~$76 WTI (volume-weighted avg)</w:t>
            </w:r>
          </w:p>
        </w:tc>
        <w:tc>
          <w:tcPr>
            <w:tcW w:type="dxa" w:w="1728"/>
          </w:tcPr>
          <w:p>
            <w:r>
              <w:rPr>
                <w:rFonts w:ascii="Calibri" w:hAnsi="Calibri"/>
                <w:sz w:val="22"/>
              </w:rPr>
              <w:t>July 10 8-K confirmed: collar settlements negatively impacted Q2 operating cash flow before working capital by $156M</w:t>
            </w:r>
          </w:p>
        </w:tc>
        <w:tc>
          <w:tcPr>
            <w:tcW w:type="dxa" w:w="1728"/>
          </w:tcPr>
          <w:p>
            <w:r>
              <w:rPr>
                <w:rFonts w:ascii="Calibri" w:hAnsi="Calibri"/>
                <w:sz w:val="22"/>
              </w:rPr>
              <w:t>N/A</w:t>
            </w:r>
          </w:p>
        </w:tc>
        <w:tc>
          <w:tcPr>
            <w:tcW w:type="dxa" w:w="1728"/>
          </w:tcPr>
          <w:p>
            <w:r>
              <w:rPr>
                <w:rFonts w:ascii="Calibri" w:hAnsi="Calibri"/>
                <w:sz w:val="22"/>
              </w:rPr>
              <w:t>↓ Headwind confirmed in July 10 Earnings Considerations 8-K; management stated no new hedges added and no intention to add more; one-time operational decision</w:t>
            </w:r>
          </w:p>
        </w:tc>
      </w:tr>
      <w:tr>
        <w:tc>
          <w:tcPr>
            <w:tcW w:type="dxa" w:w="1728"/>
          </w:tcPr>
          <w:p>
            <w:r>
              <w:rPr>
                <w:rFonts w:ascii="Calibri" w:hAnsi="Calibri"/>
                <w:sz w:val="22"/>
              </w:rPr>
              <w:t>Principal Debt Target</w:t>
            </w:r>
          </w:p>
        </w:tc>
        <w:tc>
          <w:tcPr>
            <w:tcW w:type="dxa" w:w="1728"/>
          </w:tcPr>
          <w:p>
            <w:r>
              <w:rPr>
                <w:rFonts w:ascii="Calibri" w:hAnsi="Calibri"/>
                <w:sz w:val="22"/>
              </w:rPr>
              <w:t>Near-term priority: reduce to $10B; as of May 5, principal debt at $13.3B (below prior $14.3B target)</w:t>
            </w:r>
          </w:p>
        </w:tc>
        <w:tc>
          <w:tcPr>
            <w:tcW w:type="dxa" w:w="1728"/>
          </w:tcPr>
          <w:p>
            <w:r>
              <w:rPr>
                <w:rFonts w:ascii="Calibri" w:hAnsi="Calibri"/>
                <w:sz w:val="22"/>
              </w:rPr>
              <w:t>No formal revision; trajectory dependent on FCF generation</w:t>
            </w:r>
          </w:p>
        </w:tc>
        <w:tc>
          <w:tcPr>
            <w:tcW w:type="dxa" w:w="1728"/>
          </w:tcPr>
          <w:p>
            <w:r>
              <w:rPr>
                <w:rFonts w:ascii="Calibri" w:hAnsi="Calibri"/>
                <w:sz w:val="22"/>
              </w:rPr>
              <w:t>N/A</w:t>
            </w:r>
          </w:p>
        </w:tc>
        <w:tc>
          <w:tcPr>
            <w:tcW w:type="dxa" w:w="1728"/>
          </w:tcPr>
          <w:p>
            <w:r>
              <w:rPr>
                <w:rFonts w:ascii="Calibri" w:hAnsi="Calibri"/>
                <w:sz w:val="22"/>
              </w:rPr>
              <w:t>Constructive; higher oil prices accelerate path to $10B milestone; near-term maturities low ($415M through end of 2029)</w:t>
            </w:r>
          </w:p>
        </w:tc>
      </w:tr>
      <w:tr>
        <w:tc>
          <w:tcPr>
            <w:tcW w:type="dxa" w:w="1728"/>
          </w:tcPr>
          <w:p>
            <w:r>
              <w:rPr>
                <w:rFonts w:ascii="Calibri" w:hAnsi="Calibri"/>
                <w:sz w:val="22"/>
              </w:rPr>
              <w:t>CEO Transition</w:t>
            </w:r>
          </w:p>
        </w:tc>
        <w:tc>
          <w:tcPr>
            <w:tcW w:type="dxa" w:w="1728"/>
          </w:tcPr>
          <w:p>
            <w:r>
              <w:rPr>
                <w:rFonts w:ascii="Calibri" w:hAnsi="Calibri"/>
                <w:sz w:val="22"/>
              </w:rPr>
              <w:t>Vicki Hollub retiring June 1, 2026; Richard Jackson succeeding as President &amp; CEO</w:t>
            </w:r>
          </w:p>
        </w:tc>
        <w:tc>
          <w:tcPr>
            <w:tcW w:type="dxa" w:w="1728"/>
          </w:tcPr>
          <w:p>
            <w:r>
              <w:rPr>
                <w:rFonts w:ascii="Calibri" w:hAnsi="Calibri"/>
                <w:sz w:val="22"/>
              </w:rPr>
              <w:t>Transition completed June 1, 2026</w:t>
            </w:r>
          </w:p>
        </w:tc>
        <w:tc>
          <w:tcPr>
            <w:tcW w:type="dxa" w:w="1728"/>
          </w:tcPr>
          <w:p>
            <w:r>
              <w:rPr>
                <w:rFonts w:ascii="Calibri" w:hAnsi="Calibri"/>
                <w:sz w:val="22"/>
              </w:rPr>
              <w:t>N/A</w:t>
            </w:r>
          </w:p>
        </w:tc>
        <w:tc>
          <w:tcPr>
            <w:tcW w:type="dxa" w:w="1728"/>
          </w:tcPr>
          <w:p>
            <w:r>
              <w:rPr>
                <w:rFonts w:ascii="Calibri" w:hAnsi="Calibri"/>
                <w:sz w:val="22"/>
              </w:rPr>
              <w:t>Jackson’s first earnings call as CEO; focus on organic development and FCF growth; explicitly deprioritizing large M&amp;A</w:t>
            </w:r>
          </w:p>
        </w:tc>
      </w:tr>
    </w:tbl>
    <w:p>
      <w:r>
        <w:rPr>
          <w:rFonts w:ascii="Calibri" w:hAnsi="Calibri"/>
          <w:b/>
          <w:color w:val="525866"/>
          <w:sz w:val="22"/>
        </w:rPr>
        <w:t xml:space="preserve">Sources: </w:t>
      </w:r>
      <w:r>
        <w:rPr>
          <w:rFonts w:ascii="Calibri" w:hAnsi="Calibri"/>
          <w:i/>
          <w:color w:val="525866"/>
          <w:sz w:val="22"/>
        </w:rPr>
        <w:t>OXY Q1 2026 Earnings Call Transcript (May 6, 2026); OXY Q1 2026 Earnings Release (May 5, 2026); OXY Q2 2026 Earnings Considerations 8-K (July 10,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surged dramatically since the Q1 print — Q2 2026 operating EPS consensus has risen from $0.62 to $1.89 (+206%) and FY 2026 EPS from $6.33 to $5.27 (note: FY consensus has moderated from peak as the market prices in some Hormuz resolution risk) — driven almost entirely by the oil price spike from the U.S.-Iran conflict; the gap between current consensus and the pre-conflict baseline represents both the opportunity and the risk if geopolitical conditions normalize.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at Last Earnings +5 Days (May 12,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EPS — Q2 2026</w:t>
            </w:r>
          </w:p>
        </w:tc>
        <w:tc>
          <w:tcPr>
            <w:tcW w:type="dxa" w:w="1080"/>
          </w:tcPr>
          <w:p>
            <w:r>
              <w:rPr>
                <w:rFonts w:ascii="Calibri" w:hAnsi="Calibri"/>
                <w:sz w:val="22"/>
              </w:rPr>
              <w:t>$0.617</w:t>
            </w:r>
          </w:p>
        </w:tc>
        <w:tc>
          <w:tcPr>
            <w:tcW w:type="dxa" w:w="1080"/>
          </w:tcPr>
          <w:p>
            <w:r>
              <w:rPr>
                <w:rFonts w:ascii="Calibri" w:hAnsi="Calibri"/>
                <w:sz w:val="22"/>
              </w:rPr>
              <w:t>$1.888</w:t>
            </w:r>
          </w:p>
        </w:tc>
        <w:tc>
          <w:tcPr>
            <w:tcW w:type="dxa" w:w="1080"/>
          </w:tcPr>
          <w:p>
            <w:r>
              <w:rPr>
                <w:rFonts w:ascii="Calibri" w:hAnsi="Calibri"/>
                <w:b/>
                <w:color w:val="30A46C"/>
                <w:sz w:val="22"/>
              </w:rPr>
              <w:t>+206%</w:t>
            </w:r>
          </w:p>
        </w:tc>
        <w:tc>
          <w:tcPr>
            <w:tcW w:type="dxa" w:w="1080"/>
          </w:tcPr>
          <w:p>
            <w:r>
              <w:rPr>
                <w:rFonts w:ascii="Calibri" w:hAnsi="Calibri"/>
                <w:sz w:val="22"/>
              </w:rPr>
              <w:t>No specific EPS guidance</w:t>
            </w:r>
          </w:p>
        </w:tc>
        <w:tc>
          <w:tcPr>
            <w:tcW w:type="dxa" w:w="1080"/>
          </w:tcPr>
          <w:p>
            <w:r>
              <w:rPr>
                <w:rFonts w:ascii="Calibri" w:hAnsi="Calibri"/>
                <w:sz w:val="22"/>
              </w:rPr>
              <w:t>No specific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 2026</w:t>
            </w:r>
          </w:p>
        </w:tc>
        <w:tc>
          <w:tcPr>
            <w:tcW w:type="dxa" w:w="1080"/>
          </w:tcPr>
          <w:p>
            <w:r>
              <w:rPr>
                <w:rFonts w:ascii="Calibri" w:hAnsi="Calibri"/>
                <w:sz w:val="22"/>
              </w:rPr>
              <w:t>$6.328</w:t>
            </w:r>
          </w:p>
        </w:tc>
        <w:tc>
          <w:tcPr>
            <w:tcW w:type="dxa" w:w="1080"/>
          </w:tcPr>
          <w:p>
            <w:r>
              <w:rPr>
                <w:rFonts w:ascii="Calibri" w:hAnsi="Calibri"/>
                <w:sz w:val="22"/>
              </w:rPr>
              <w:t>$5.266</w:t>
            </w:r>
          </w:p>
        </w:tc>
        <w:tc>
          <w:tcPr>
            <w:tcW w:type="dxa" w:w="1080"/>
          </w:tcPr>
          <w:p>
            <w:r>
              <w:rPr>
                <w:rFonts w:ascii="Calibri" w:hAnsi="Calibri"/>
                <w:b/>
                <w:color w:val="E5484D"/>
                <w:sz w:val="22"/>
              </w:rPr>
              <w:t>-16.8%</w:t>
            </w:r>
          </w:p>
        </w:tc>
        <w:tc>
          <w:tcPr>
            <w:tcW w:type="dxa" w:w="1080"/>
          </w:tcPr>
          <w:p>
            <w:r>
              <w:rPr>
                <w:rFonts w:ascii="Calibri" w:hAnsi="Calibri"/>
                <w:sz w:val="22"/>
              </w:rPr>
              <w:t>No specific EPS guidance</w:t>
            </w:r>
          </w:p>
        </w:tc>
        <w:tc>
          <w:tcPr>
            <w:tcW w:type="dxa" w:w="1080"/>
          </w:tcPr>
          <w:p>
            <w:r>
              <w:rPr>
                <w:rFonts w:ascii="Calibri" w:hAnsi="Calibri"/>
                <w:sz w:val="22"/>
              </w:rPr>
              <w:t>No specific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Production — Q2 2026 (Mboe/d)</w:t>
            </w:r>
          </w:p>
        </w:tc>
        <w:tc>
          <w:tcPr>
            <w:tcW w:type="dxa" w:w="1080"/>
          </w:tcPr>
          <w:p>
            <w:r>
              <w:rPr>
                <w:rFonts w:ascii="Calibri" w:hAnsi="Calibri"/>
                <w:sz w:val="22"/>
              </w:rPr>
              <w:t>1,414 Mboe/d</w:t>
            </w:r>
          </w:p>
        </w:tc>
        <w:tc>
          <w:tcPr>
            <w:tcW w:type="dxa" w:w="1080"/>
          </w:tcPr>
          <w:p>
            <w:r>
              <w:rPr>
                <w:rFonts w:ascii="Calibri" w:hAnsi="Calibri"/>
                <w:sz w:val="22"/>
              </w:rPr>
              <w:t>1,416 Mboe/d</w:t>
            </w:r>
          </w:p>
        </w:tc>
        <w:tc>
          <w:tcPr>
            <w:tcW w:type="dxa" w:w="1080"/>
          </w:tcPr>
          <w:p>
            <w:r>
              <w:rPr>
                <w:rFonts w:ascii="Calibri" w:hAnsi="Calibri"/>
                <w:sz w:val="22"/>
              </w:rPr>
              <w:t>+0.1%</w:t>
            </w:r>
          </w:p>
        </w:tc>
        <w:tc>
          <w:tcPr>
            <w:tcW w:type="dxa" w:w="1080"/>
          </w:tcPr>
          <w:p>
            <w:r>
              <w:rPr>
                <w:rFonts w:ascii="Calibri" w:hAnsi="Calibri"/>
                <w:sz w:val="22"/>
              </w:rPr>
              <w:t>Guided lower vs. Q1; Al Hosn constraints + EOR optimization; strong U.S. onshore to partially offset</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Approx. in line</w:t>
            </w:r>
          </w:p>
        </w:tc>
      </w:tr>
      <w:tr>
        <w:tc>
          <w:tcPr>
            <w:tcW w:type="dxa" w:w="1080"/>
          </w:tcPr>
          <w:p>
            <w:r>
              <w:rPr>
                <w:rFonts w:ascii="Calibri" w:hAnsi="Calibri"/>
                <w:sz w:val="22"/>
              </w:rPr>
              <w:t>Total Production — FY 2026 (Mboe/d)</w:t>
            </w:r>
          </w:p>
        </w:tc>
        <w:tc>
          <w:tcPr>
            <w:tcW w:type="dxa" w:w="1080"/>
          </w:tcPr>
          <w:p>
            <w:r>
              <w:rPr>
                <w:rFonts w:ascii="Calibri" w:hAnsi="Calibri"/>
                <w:sz w:val="22"/>
              </w:rPr>
              <w:t>1,434 Mboe/d</w:t>
            </w:r>
          </w:p>
        </w:tc>
        <w:tc>
          <w:tcPr>
            <w:tcW w:type="dxa" w:w="1080"/>
          </w:tcPr>
          <w:p>
            <w:r>
              <w:rPr>
                <w:rFonts w:ascii="Calibri" w:hAnsi="Calibri"/>
                <w:sz w:val="22"/>
              </w:rPr>
              <w:t>1,426 Mboe/d</w:t>
            </w:r>
          </w:p>
        </w:tc>
        <w:tc>
          <w:tcPr>
            <w:tcW w:type="dxa" w:w="1080"/>
          </w:tcPr>
          <w:p>
            <w:r>
              <w:rPr>
                <w:rFonts w:ascii="Calibri" w:hAnsi="Calibri"/>
                <w:b/>
                <w:color w:val="E5484D"/>
                <w:sz w:val="22"/>
              </w:rPr>
              <w:t>-0.6%</w:t>
            </w:r>
          </w:p>
        </w:tc>
        <w:tc>
          <w:tcPr>
            <w:tcW w:type="dxa" w:w="1080"/>
          </w:tcPr>
          <w:p>
            <w:r>
              <w:rPr>
                <w:rFonts w:ascii="Calibri" w:hAnsi="Calibri"/>
                <w:sz w:val="22"/>
              </w:rPr>
              <w:t>Midpoint adjusted to 1.44M Boe/d at Q1 call</w:t>
            </w:r>
          </w:p>
        </w:tc>
        <w:tc>
          <w:tcPr>
            <w:tcW w:type="dxa" w:w="1080"/>
          </w:tcPr>
          <w:p>
            <w:r>
              <w:rPr>
                <w:rFonts w:ascii="Calibri" w:hAnsi="Calibri"/>
                <w:sz w:val="22"/>
              </w:rPr>
              <w:t>1.44M Boe/d midpoint</w:t>
            </w:r>
          </w:p>
        </w:tc>
        <w:tc>
          <w:tcPr>
            <w:tcW w:type="dxa" w:w="1080"/>
          </w:tcPr>
          <w:p>
            <w:r>
              <w:rPr>
                <w:rFonts w:ascii="Calibri" w:hAnsi="Calibri"/>
                <w:sz w:val="22"/>
              </w:rPr>
              <w:t>Unchanged</w:t>
            </w:r>
          </w:p>
        </w:tc>
        <w:tc>
          <w:tcPr>
            <w:tcW w:type="dxa" w:w="1080"/>
          </w:tcPr>
          <w:p>
            <w:r>
              <w:rPr>
                <w:rFonts w:ascii="Calibri" w:hAnsi="Calibri"/>
                <w:sz w:val="22"/>
              </w:rPr>
              <w:t>Consensus ~1% below guidance midpoint</w:t>
            </w:r>
          </w:p>
        </w:tc>
      </w:tr>
      <w:tr>
        <w:tc>
          <w:tcPr>
            <w:tcW w:type="dxa" w:w="1080"/>
          </w:tcPr>
          <w:p>
            <w:r>
              <w:rPr>
                <w:rFonts w:ascii="Calibri" w:hAnsi="Calibri"/>
                <w:sz w:val="22"/>
              </w:rPr>
              <w:t>LOE per BOE — Q2 2026 ($/BOE)</w:t>
            </w:r>
          </w:p>
        </w:tc>
        <w:tc>
          <w:tcPr>
            <w:tcW w:type="dxa" w:w="1080"/>
          </w:tcPr>
          <w:p>
            <w:r>
              <w:rPr>
                <w:rFonts w:ascii="Calibri" w:hAnsi="Calibri"/>
                <w:sz w:val="22"/>
              </w:rPr>
              <w:t>$8.48/BOE</w:t>
            </w:r>
          </w:p>
        </w:tc>
        <w:tc>
          <w:tcPr>
            <w:tcW w:type="dxa" w:w="1080"/>
          </w:tcPr>
          <w:p>
            <w:r>
              <w:rPr>
                <w:rFonts w:ascii="Calibri" w:hAnsi="Calibri"/>
                <w:sz w:val="22"/>
              </w:rPr>
              <w:t>$9.12/BOE</w:t>
            </w:r>
          </w:p>
        </w:tc>
        <w:tc>
          <w:tcPr>
            <w:tcW w:type="dxa" w:w="1080"/>
          </w:tcPr>
          <w:p>
            <w:r>
              <w:rPr>
                <w:rFonts w:ascii="Calibri" w:hAnsi="Calibri"/>
                <w:b/>
                <w:color w:val="E5484D"/>
                <w:sz w:val="22"/>
              </w:rPr>
              <w:t>+7.5%</w:t>
            </w:r>
          </w:p>
        </w:tc>
        <w:tc>
          <w:tcPr>
            <w:tcW w:type="dxa" w:w="1080"/>
          </w:tcPr>
          <w:p>
            <w:r>
              <w:rPr>
                <w:rFonts w:ascii="Calibri" w:hAnsi="Calibri"/>
                <w:sz w:val="22"/>
              </w:rPr>
              <w:t>Maintained prior guidance; CO2 cost pressure offset by EOR optimization</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Consensus above guidance midpoint; CO2 cost pressure at higher oil prices a risk</w:t>
            </w:r>
          </w:p>
        </w:tc>
      </w:tr>
      <w:tr>
        <w:tc>
          <w:tcPr>
            <w:tcW w:type="dxa" w:w="1080"/>
          </w:tcPr>
          <w:p>
            <w:r>
              <w:rPr>
                <w:rFonts w:ascii="Calibri" w:hAnsi="Calibri"/>
                <w:sz w:val="22"/>
              </w:rPr>
              <w:t>FCF — Q2 2026</w:t>
            </w:r>
          </w:p>
        </w:tc>
        <w:tc>
          <w:tcPr>
            <w:tcW w:type="dxa" w:w="1080"/>
          </w:tcPr>
          <w:p>
            <w:r>
              <w:rPr>
                <w:rFonts w:ascii="Calibri" w:hAnsi="Calibri"/>
                <w:sz w:val="22"/>
              </w:rPr>
              <w:t>$2.606B</w:t>
            </w:r>
          </w:p>
        </w:tc>
        <w:tc>
          <w:tcPr>
            <w:tcW w:type="dxa" w:w="1080"/>
          </w:tcPr>
          <w:p>
            <w:r>
              <w:rPr>
                <w:rFonts w:ascii="Calibri" w:hAnsi="Calibri"/>
                <w:sz w:val="22"/>
              </w:rPr>
              <w:t>$2.542B</w:t>
            </w:r>
          </w:p>
        </w:tc>
        <w:tc>
          <w:tcPr>
            <w:tcW w:type="dxa" w:w="1080"/>
          </w:tcPr>
          <w:p>
            <w:r>
              <w:rPr>
                <w:rFonts w:ascii="Calibri" w:hAnsi="Calibri"/>
                <w:sz w:val="22"/>
              </w:rPr>
              <w:t>-2.5%</w:t>
            </w:r>
          </w:p>
        </w:tc>
        <w:tc>
          <w:tcPr>
            <w:tcW w:type="dxa" w:w="1080"/>
          </w:tcPr>
          <w:p>
            <w:r>
              <w:rPr>
                <w:rFonts w:ascii="Calibri" w:hAnsi="Calibri"/>
                <w:sz w:val="22"/>
              </w:rPr>
              <w:t>No specific FCF guidance</w:t>
            </w:r>
          </w:p>
        </w:tc>
        <w:tc>
          <w:tcPr>
            <w:tcW w:type="dxa" w:w="1080"/>
          </w:tcPr>
          <w:p>
            <w:r>
              <w:rPr>
                <w:rFonts w:ascii="Calibri" w:hAnsi="Calibri"/>
                <w:sz w:val="22"/>
              </w:rPr>
              <w:t>No specific FCF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FCF — FY 2026</w:t>
            </w:r>
          </w:p>
        </w:tc>
        <w:tc>
          <w:tcPr>
            <w:tcW w:type="dxa" w:w="1080"/>
          </w:tcPr>
          <w:p>
            <w:r>
              <w:rPr>
                <w:rFonts w:ascii="Calibri" w:hAnsi="Calibri"/>
                <w:sz w:val="22"/>
              </w:rPr>
              <w:t>$8.397B</w:t>
            </w:r>
          </w:p>
        </w:tc>
        <w:tc>
          <w:tcPr>
            <w:tcW w:type="dxa" w:w="1080"/>
          </w:tcPr>
          <w:p>
            <w:r>
              <w:rPr>
                <w:rFonts w:ascii="Calibri" w:hAnsi="Calibri"/>
                <w:sz w:val="22"/>
              </w:rPr>
              <w:t>$8.117B</w:t>
            </w:r>
          </w:p>
        </w:tc>
        <w:tc>
          <w:tcPr>
            <w:tcW w:type="dxa" w:w="1080"/>
          </w:tcPr>
          <w:p>
            <w:r>
              <w:rPr>
                <w:rFonts w:ascii="Calibri" w:hAnsi="Calibri"/>
                <w:sz w:val="22"/>
              </w:rPr>
              <w:t>-3.3%</w:t>
            </w:r>
          </w:p>
        </w:tc>
        <w:tc>
          <w:tcPr>
            <w:tcW w:type="dxa" w:w="1080"/>
          </w:tcPr>
          <w:p>
            <w:r>
              <w:rPr>
                <w:rFonts w:ascii="Calibri" w:hAnsi="Calibri"/>
                <w:sz w:val="22"/>
              </w:rPr>
              <w:t>No specific FCF guidance</w:t>
            </w:r>
          </w:p>
        </w:tc>
        <w:tc>
          <w:tcPr>
            <w:tcW w:type="dxa" w:w="1080"/>
          </w:tcPr>
          <w:p>
            <w:r>
              <w:rPr>
                <w:rFonts w:ascii="Calibri" w:hAnsi="Calibri"/>
                <w:sz w:val="22"/>
              </w:rPr>
              <w:t>No specific FCF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b/>
          <w:color w:val="525866"/>
          <w:sz w:val="22"/>
        </w:rPr>
        <w:t xml:space="preserve">Commentary: </w:t>
      </w:r>
      <w:r>
        <w:rPr>
          <w:rFonts w:ascii="Calibri" w:hAnsi="Calibri"/>
          <w:color w:val="525866"/>
          <w:sz w:val="22"/>
        </w:rPr>
        <w:t>The most notable divergence in the revision tracker is the FY 2026 EPS: the post-Q1 baseline of $6.33 has since moderated to $5.27 (-16.8%), reflecting the market pricing in some probability of Hormuz reopening and oil price normalization in H2 2026. Meanwhile, Q2 2026 EPS consensus has surged +206% from the post-Q1 baseline, entirely driven by the oil price spike. The LOE per BOE revision upward (+7.5%) reflects CO2 cost pressure at higher oil prices, partially offset by EOR optimization — this is a known risk management flagged on the Q1 call. FCF estimates have modestly declined from the post-Q1 baseline, likely reflecting the $156M collar settlement headwind confirmed in the July 10 8-K.</w:t>
      </w:r>
    </w:p>
    <w:p>
      <w:r>
        <w:rPr>
          <w:rFonts w:ascii="Calibri" w:hAnsi="Calibri"/>
          <w:b/>
          <w:color w:val="525866"/>
          <w:sz w:val="22"/>
        </w:rPr>
        <w:t xml:space="preserve">Source: </w:t>
      </w:r>
      <w:r>
        <w:rPr>
          <w:rFonts w:ascii="Calibri" w:hAnsi="Calibri"/>
          <w:i/>
          <w:color w:val="525866"/>
          <w:sz w:val="22"/>
        </w:rPr>
        <w:t>Visible Alpha Consensus and Actuals Data; OXY Q1 2026 Earnings Call Transcript (May 6, 2026); OXY Q2 2026 Earnings Considerations 8-K (July 10,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OXY’s stock performance since the Q1 2026 earnings call (May 6) has been driven almost entirely by the oil price surge from the U.S.-Iran conflict, not by multiple expansion or estimate revisions — the stock has moved broadly in line with the energy sector, suggesting the market is treating OXY as a high-beta oil price proxy rather than rewarding its operational transformation or debt reduction execution.</w:t>
      </w:r>
    </w:p>
    <w:p>
      <w:r>
        <w:rPr>
          <w:rFonts w:ascii="Calibri" w:hAnsi="Calibri"/>
          <w:color w:val="525866"/>
          <w:sz w:val="22"/>
        </w:rPr>
        <w:t xml:space="preserve">Since the Q1 2026 earnings call on May 6, 2026, OXY has traded in a volatile range driven by the escalating U.S.-Iran conflict and its impact on global oil prices. The stock declined on the day of the Q1 earnings call despite the operational beat, reflecting investor concern about the lower full-year production guidance midpoint and broader commodity price uncertainty. Subsequently, as Brent crude surged (rising ~24% in July alone, with Brent crossing $100/Bbl briefly in late July), OXY recovered alongside the broader energy sector. The relevant sector benchmark is the </w:t>
      </w:r>
      <w:r>
        <w:rPr>
          <w:rFonts w:ascii="Calibri" w:hAnsi="Calibri"/>
          <w:b/>
          <w:color w:val="525866"/>
          <w:sz w:val="22"/>
        </w:rPr>
        <w:t>Energy Select Sector SPDR (XLE)</w:t>
      </w:r>
      <w:r>
        <w:rPr>
          <w:rFonts w:ascii="Calibri" w:hAnsi="Calibri"/>
          <w:color w:val="525866"/>
          <w:sz w:val="22"/>
        </w:rPr>
        <w:t>, which captures OXY’s integrated E&amp;P peer group. Key events to mark on the performance chart include: (1) May 6 — Q1 earnings call / stock decline; (2) June 1 — CEO transition (Hollub → Jackson); (3) July 10 — Q2 Earnings Considerations 8-K (confirmed realized prices); (4) July 23 — Brent crosses $100/Bbl on Houthi Red Sea threats; (5) July 27 — Trump pauses Iran strikes, oil pulls back; (6) August 2 — Trump cancels planned attack, Hormuz talks resume. The stock’s performance has been tightly correlated with oil price moves, with limited idiosyncratic alpha, consistent with the market’s current view of OXY as a commodity-price-driven name rather than a transformation story.</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dominant development since the Q1 call is the U.S.-Iran war and its cascading effects on oil prices, Strait of Hormuz shipping, and OXY’s Al Hosn operations — this single macro event has driven the majority of the estimate revision and stock performance since May 6, and its resolution trajectory is the most important variable for the Q2 print and beyond.</w:t>
      </w:r>
    </w:p>
    <w:p>
      <w:pPr>
        <w:pStyle w:val="ListBullet"/>
        <w:ind w:left="360" w:hanging="360"/>
      </w:pPr>
      <w:r>
        <w:rPr>
          <w:rFonts w:ascii="Calibri" w:hAnsi="Calibri"/>
          <w:b/>
          <w:color w:val="525866"/>
          <w:sz w:val="22"/>
        </w:rPr>
        <w:t>July 10, 2026 — OXY Q2 2026 Earnings Considerations 8-K Filed:</w:t>
      </w:r>
      <w:r>
        <w:rPr>
          <w:rFonts w:ascii="Calibri" w:hAnsi="Calibri"/>
          <w:color w:val="525866"/>
          <w:sz w:val="22"/>
        </w:rPr>
        <w:t xml:space="preserve"> Confirmed Q2 worldwide oil realized price of $96.78/Bbl (104% of WTI avg of $92.79), NGL at $24.64/Bbl, and domestic gas at -$1.48/Mcf. Flagged $156M operating cash flow headwind from crude oil collar settlements. Confirmed 1,012.2M average diluted shares outstanding. </w:t>
      </w:r>
      <w:r>
        <w:rPr>
          <w:rFonts w:ascii="Calibri" w:hAnsi="Calibri"/>
          <w:b/>
          <w:color w:val="525866"/>
          <w:sz w:val="22"/>
        </w:rPr>
        <w:t>Implication:</w:t>
      </w:r>
      <w:r>
        <w:rPr>
          <w:rFonts w:ascii="Calibri" w:hAnsi="Calibri"/>
          <w:color w:val="525866"/>
          <w:sz w:val="22"/>
        </w:rPr>
        <w:t xml:space="preserve"> Provides a high-confidence floor for Q2 revenue and EPS; the collar headwind is a known, quantified drag on cash flow.</w:t>
      </w:r>
    </w:p>
    <w:p>
      <w:pPr>
        <w:pStyle w:val="ListBullet"/>
        <w:ind w:left="360" w:hanging="360"/>
      </w:pPr>
      <w:r>
        <w:rPr>
          <w:rFonts w:ascii="Calibri" w:hAnsi="Calibri"/>
          <w:b/>
          <w:color w:val="525866"/>
          <w:sz w:val="22"/>
        </w:rPr>
        <w:t>June 1, 2026 — CEO Transition Completed:</w:t>
      </w:r>
      <w:r>
        <w:rPr>
          <w:rFonts w:ascii="Calibri" w:hAnsi="Calibri"/>
          <w:color w:val="525866"/>
          <w:sz w:val="22"/>
        </w:rPr>
        <w:t xml:space="preserve"> Richard Jackson succeeded Vicki Hollub as President and CEO. Hollub remains on the Board. Jackson’s stated focus is organic development and free cash flow growth, explicitly deprioritizing large M&amp;A. </w:t>
      </w:r>
      <w:r>
        <w:rPr>
          <w:rFonts w:ascii="Calibri" w:hAnsi="Calibri"/>
          <w:b/>
          <w:color w:val="525866"/>
          <w:sz w:val="22"/>
        </w:rPr>
        <w:t>Implication:</w:t>
      </w:r>
      <w:r>
        <w:rPr>
          <w:rFonts w:ascii="Calibri" w:hAnsi="Calibri"/>
          <w:color w:val="525866"/>
          <w:sz w:val="22"/>
        </w:rPr>
        <w:t xml:space="preserve"> Q2 call will be Jackson’s first as CEO — investors will scrutinize tone, capital allocation language, and any strategic updates; continuity of the $10B debt target and preferred redemption optionality framework is expected.</w:t>
      </w:r>
    </w:p>
    <w:p>
      <w:pPr>
        <w:pStyle w:val="ListBullet"/>
        <w:ind w:left="360" w:hanging="360"/>
      </w:pPr>
      <w:r>
        <w:rPr>
          <w:rFonts w:ascii="Calibri" w:hAnsi="Calibri"/>
          <w:b/>
          <w:color w:val="525866"/>
          <w:sz w:val="22"/>
        </w:rPr>
        <w:t>May 6, 2026 — Q1 2026 Earnings Call — Key Forward Guidance:</w:t>
      </w:r>
      <w:r>
        <w:rPr>
          <w:rFonts w:ascii="Calibri" w:hAnsi="Calibri"/>
          <w:color w:val="525866"/>
          <w:sz w:val="22"/>
        </w:rPr>
        <w:t xml:space="preserve"> Full-year production midpoint trimmed to 1.44M Boe/d; full-year midstream guidance raised to $1.1B midpoint (+$800M); full-year CapEx maintained at $5.5B–$5.9B; domestic LOE guidance maintained; Al Hosn constraints expected to normalize before Q2 end; Stratus DAC Phase 1 commissioning issue identified (non-process component, no capital impact expected). </w:t>
      </w:r>
      <w:r>
        <w:rPr>
          <w:rFonts w:ascii="Calibri" w:hAnsi="Calibri"/>
          <w:b/>
          <w:color w:val="525866"/>
          <w:sz w:val="22"/>
        </w:rPr>
        <w:t>Implication:</w:t>
      </w:r>
      <w:r>
        <w:rPr>
          <w:rFonts w:ascii="Calibri" w:hAnsi="Calibri"/>
          <w:color w:val="525866"/>
          <w:sz w:val="22"/>
        </w:rPr>
        <w:t xml:space="preserve"> Sets the baseline for Q2 expectations; Al Hosn normalization is a key production swing factor.</w:t>
      </w:r>
    </w:p>
    <w:p>
      <w:pPr>
        <w:pStyle w:val="ListBullet"/>
        <w:ind w:left="360" w:hanging="360"/>
      </w:pPr>
      <w:r>
        <w:rPr>
          <w:rFonts w:ascii="Calibri" w:hAnsi="Calibri"/>
          <w:b/>
          <w:color w:val="525866"/>
          <w:sz w:val="22"/>
        </w:rPr>
        <w:t>July 23–31, 2026 — Brent Crude Surges Above $100/Bbl:</w:t>
      </w:r>
      <w:r>
        <w:rPr>
          <w:rFonts w:ascii="Calibri" w:hAnsi="Calibri"/>
          <w:color w:val="525866"/>
          <w:sz w:val="22"/>
        </w:rPr>
        <w:t xml:space="preserve"> Houthi threats on Saudi Red Sea tankers opened a second chokepoint alongside the Strait of Hormuz. Brent rose ~24% in July, with WTI averaging $92.79/Bbl in Q2. </w:t>
      </w:r>
      <w:r>
        <w:rPr>
          <w:rFonts w:ascii="Calibri" w:hAnsi="Calibri"/>
          <w:b/>
          <w:color w:val="525866"/>
          <w:sz w:val="22"/>
        </w:rPr>
        <w:t>Implication:</w:t>
      </w:r>
      <w:r>
        <w:rPr>
          <w:rFonts w:ascii="Calibri" w:hAnsi="Calibri"/>
          <w:color w:val="525866"/>
          <w:sz w:val="22"/>
        </w:rPr>
        <w:t xml:space="preserve"> Directly supports OXY’s Q2 realized prices (confirmed at $96.78/Bbl worldwide oil); also creates uncertainty for H2 2026 if Hormuz reopens.</w:t>
      </w:r>
    </w:p>
    <w:p>
      <w:pPr>
        <w:pStyle w:val="ListBullet"/>
        <w:ind w:left="360" w:hanging="360"/>
      </w:pPr>
      <w:r>
        <w:rPr>
          <w:rFonts w:ascii="Calibri" w:hAnsi="Calibri"/>
          <w:b/>
          <w:color w:val="525866"/>
          <w:sz w:val="22"/>
        </w:rPr>
        <w:t>August 2–4, 2026 — Iran-Oman Hormuz Deal Emerging:</w:t>
      </w:r>
      <w:r>
        <w:rPr>
          <w:rFonts w:ascii="Calibri" w:hAnsi="Calibri"/>
          <w:color w:val="525866"/>
          <w:sz w:val="22"/>
        </w:rPr>
        <w:t xml:space="preserve"> Reports indicate Iran and Oman are working toward a deal to reopen the Strait of Hormuz. Trump canceled planned strikes on August 2 pending negotiations. </w:t>
      </w:r>
      <w:r>
        <w:rPr>
          <w:rFonts w:ascii="Calibri" w:hAnsi="Calibri"/>
          <w:b/>
          <w:color w:val="525866"/>
          <w:sz w:val="22"/>
        </w:rPr>
        <w:t>Implication:</w:t>
      </w:r>
      <w:r>
        <w:rPr>
          <w:rFonts w:ascii="Calibri" w:hAnsi="Calibri"/>
          <w:color w:val="525866"/>
          <w:sz w:val="22"/>
        </w:rPr>
        <w:t xml:space="preserve"> A Hormuz reopening would be a significant negative catalyst for oil prices and OXY’s H2 2026 earnings trajectory; the market is already pricing some probability of this, as evidenced by the FY 2026 EPS consensus declining from the post-Q1 peak.</w:t>
      </w:r>
    </w:p>
    <w:p>
      <w:pPr>
        <w:pStyle w:val="ListBullet"/>
        <w:ind w:left="360" w:hanging="360"/>
      </w:pPr>
      <w:r>
        <w:rPr>
          <w:rFonts w:ascii="Calibri" w:hAnsi="Calibri"/>
          <w:b/>
          <w:color w:val="525866"/>
          <w:sz w:val="22"/>
        </w:rPr>
        <w:t>July 31, 2026 — XOM &amp; CVX Q2 2026 Earnings:</w:t>
      </w:r>
      <w:r>
        <w:rPr>
          <w:rFonts w:ascii="Calibri" w:hAnsi="Calibri"/>
          <w:color w:val="525866"/>
          <w:sz w:val="22"/>
        </w:rPr>
        <w:t xml:space="preserve"> ExxonMobil reported $14.7B adjusted earnings (67% QoQ increase); Chevron reported record $12.1B quarterly profit. Both prioritized debt reduction over large buyback increases. </w:t>
      </w:r>
      <w:r>
        <w:rPr>
          <w:rFonts w:ascii="Calibri" w:hAnsi="Calibri"/>
          <w:b/>
          <w:color w:val="525866"/>
          <w:sz w:val="22"/>
        </w:rPr>
        <w:t>Implication:</w:t>
      </w:r>
      <w:r>
        <w:rPr>
          <w:rFonts w:ascii="Calibri" w:hAnsi="Calibri"/>
          <w:color w:val="525866"/>
          <w:sz w:val="22"/>
        </w:rPr>
        <w:t xml:space="preserve"> Confirms the sector-wide earnings tailwind from elevated oil prices; OXY’s Q2 should benefit from the same commodity environment.</w:t>
      </w:r>
    </w:p>
    <w:p>
      <w:pPr>
        <w:pStyle w:val="ListBullet"/>
        <w:ind w:left="360" w:hanging="360"/>
      </w:pPr>
      <w:r>
        <w:rPr>
          <w:rFonts w:ascii="Calibri" w:hAnsi="Calibri"/>
          <w:b/>
          <w:color w:val="525866"/>
          <w:sz w:val="22"/>
        </w:rPr>
        <w:t>August 3–4, 2026 — FANG &amp; DVN Q2 2026 Earnings:</w:t>
      </w:r>
      <w:r>
        <w:rPr>
          <w:rFonts w:ascii="Calibri" w:hAnsi="Calibri"/>
          <w:color w:val="525866"/>
          <w:sz w:val="22"/>
        </w:rPr>
        <w:t xml:space="preserve"> Diamondback Energy raised full-year production guidance to 522+ MBO/d and 1,000+ MBOE/d with CapEx unchanged; Devon Energy reported highest quarterly profit since 2022 ($1.57 EPS vs. $1.39 consensus). </w:t>
      </w:r>
      <w:r>
        <w:rPr>
          <w:rFonts w:ascii="Calibri" w:hAnsi="Calibri"/>
          <w:b/>
          <w:color w:val="525866"/>
          <w:sz w:val="22"/>
        </w:rPr>
        <w:t>Implication:</w:t>
      </w:r>
      <w:r>
        <w:rPr>
          <w:rFonts w:ascii="Calibri" w:hAnsi="Calibri"/>
          <w:color w:val="525866"/>
          <w:sz w:val="22"/>
        </w:rPr>
        <w:t xml:space="preserve"> Strong Permian operational execution confirmed across peers; positive read-through for OXY’s domestic production performance.</w:t>
      </w:r>
    </w:p>
    <w:p>
      <w:pPr>
        <w:pStyle w:val="ListBullet"/>
        <w:ind w:left="360" w:hanging="360"/>
      </w:pPr>
      <w:r>
        <w:rPr>
          <w:rFonts w:ascii="Calibri" w:hAnsi="Calibri"/>
          <w:b/>
          <w:color w:val="525866"/>
          <w:sz w:val="22"/>
        </w:rPr>
        <w:t>August 4, 2026 — EOG Q2 2026 Results:</w:t>
      </w:r>
      <w:r>
        <w:rPr>
          <w:rFonts w:ascii="Calibri" w:hAnsi="Calibri"/>
          <w:color w:val="525866"/>
          <w:sz w:val="22"/>
        </w:rPr>
        <w:t xml:space="preserve"> EOG Resources reported Q2 2026 results and issued Q3 forecast. </w:t>
      </w:r>
      <w:r>
        <w:rPr>
          <w:rFonts w:ascii="Calibri" w:hAnsi="Calibri"/>
          <w:b/>
          <w:color w:val="525866"/>
          <w:sz w:val="22"/>
        </w:rPr>
        <w:t>Implication:</w:t>
      </w:r>
      <w:r>
        <w:rPr>
          <w:rFonts w:ascii="Calibri" w:hAnsi="Calibri"/>
          <w:color w:val="525866"/>
          <w:sz w:val="22"/>
        </w:rPr>
        <w:t xml:space="preserve"> Provides same-day read-through on Permian/Eagle Ford operational conditions heading into OXY’s August 5 release.</w:t>
      </w:r>
    </w:p>
    <w:p>
      <w:pPr>
        <w:pStyle w:val="ListBullet"/>
        <w:ind w:left="360" w:hanging="360"/>
      </w:pPr>
      <w:r>
        <w:rPr>
          <w:rFonts w:ascii="Calibri" w:hAnsi="Calibri"/>
          <w:b/>
          <w:color w:val="525866"/>
          <w:sz w:val="22"/>
        </w:rPr>
        <w:t>July 27, 2026 — Baker Hughes Q2 2026 Earnings:</w:t>
      </w:r>
      <w:r>
        <w:rPr>
          <w:rFonts w:ascii="Calibri" w:hAnsi="Calibri"/>
          <w:color w:val="525866"/>
          <w:sz w:val="22"/>
        </w:rPr>
        <w:t xml:space="preserve"> BKR reported EPS of 64 cents vs. 50 cents consensus; IET orders doubled YoY to $7.1B. Flagged annual global E&amp;P spending expected to decline modestly; Middle East disruptions impacted IET revenue. </w:t>
      </w:r>
      <w:r>
        <w:rPr>
          <w:rFonts w:ascii="Calibri" w:hAnsi="Calibri"/>
          <w:b/>
          <w:color w:val="525866"/>
          <w:sz w:val="22"/>
        </w:rPr>
        <w:t>Implication:</w:t>
      </w:r>
      <w:r>
        <w:rPr>
          <w:rFonts w:ascii="Calibri" w:hAnsi="Calibri"/>
          <w:color w:val="525866"/>
          <w:sz w:val="22"/>
        </w:rPr>
        <w:t xml:space="preserve"> Oilfield services cost environment remains manageable for Permian operators; Middle East service disruptions are a headwind for international operations.</w:t>
      </w:r>
    </w:p>
    <w:p>
      <w:pPr>
        <w:pStyle w:val="ListBullet"/>
        <w:ind w:left="360" w:hanging="360"/>
      </w:pPr>
      <w:r>
        <w:rPr>
          <w:rFonts w:ascii="Calibri" w:hAnsi="Calibri"/>
          <w:b/>
          <w:color w:val="525866"/>
          <w:sz w:val="22"/>
        </w:rPr>
        <w:t>July 24, 2026 — SLB Q2 2026 Earnings:</w:t>
      </w:r>
      <w:r>
        <w:rPr>
          <w:rFonts w:ascii="Calibri" w:hAnsi="Calibri"/>
          <w:color w:val="525866"/>
          <w:sz w:val="22"/>
        </w:rPr>
        <w:t xml:space="preserve"> SLB reported EPS of 55 cents vs. 51 cents consensus; broad international growth offset Middle East declines. </w:t>
      </w:r>
      <w:r>
        <w:rPr>
          <w:rFonts w:ascii="Calibri" w:hAnsi="Calibri"/>
          <w:b/>
          <w:color w:val="525866"/>
          <w:sz w:val="22"/>
        </w:rPr>
        <w:t>Implication:</w:t>
      </w:r>
      <w:r>
        <w:rPr>
          <w:rFonts w:ascii="Calibri" w:hAnsi="Calibri"/>
          <w:color w:val="525866"/>
          <w:sz w:val="22"/>
        </w:rPr>
        <w:t xml:space="preserve"> Confirms Middle East service disruptions are real but manageable; international upstream activity outside the conflict zone remains healthy.</w:t>
      </w:r>
    </w:p>
    <w:p>
      <w:pPr>
        <w:pStyle w:val="ListBullet"/>
        <w:ind w:left="360" w:hanging="360"/>
      </w:pPr>
      <w:r>
        <w:rPr>
          <w:rFonts w:ascii="Calibri" w:hAnsi="Calibri"/>
          <w:b/>
          <w:color w:val="525866"/>
          <w:sz w:val="22"/>
        </w:rPr>
        <w:t>Ongoing — Trump Administration Political Pressure on Oil Majors:</w:t>
      </w:r>
      <w:r>
        <w:rPr>
          <w:rFonts w:ascii="Calibri" w:hAnsi="Calibri"/>
          <w:color w:val="525866"/>
          <w:sz w:val="22"/>
        </w:rPr>
        <w:t xml:space="preserve"> President Trump publicly criticized ExxonMobil and Chevron for "making too much money" and demanded lower gas prices. </w:t>
      </w:r>
      <w:r>
        <w:rPr>
          <w:rFonts w:ascii="Calibri" w:hAnsi="Calibri"/>
          <w:b/>
          <w:color w:val="525866"/>
          <w:sz w:val="22"/>
        </w:rPr>
        <w:t>Implication:</w:t>
      </w:r>
      <w:r>
        <w:rPr>
          <w:rFonts w:ascii="Calibri" w:hAnsi="Calibri"/>
          <w:color w:val="525866"/>
          <w:sz w:val="22"/>
        </w:rPr>
        <w:t xml:space="preserve"> Political risk for the sector; potential regulatory or windfall tax discussions could weigh on sentiment, though no concrete policy action has been announced.</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The only notable insider transaction since the Q1 earnings call is a discretionary open-market purchase by incoming CEO Richard Jackson — a constructive signal from the new chief executive, though the size is modest relative to his total holdings; no insider selling has been disclosed.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Richard A. Jackson</w:t>
            </w:r>
          </w:p>
        </w:tc>
        <w:tc>
          <w:tcPr>
            <w:tcW w:type="dxa" w:w="1440"/>
          </w:tcPr>
          <w:p>
            <w:r>
              <w:rPr>
                <w:rFonts w:ascii="Calibri" w:hAnsi="Calibri"/>
                <w:sz w:val="22"/>
              </w:rPr>
              <w:t>President and CEO, Director</w:t>
            </w:r>
          </w:p>
        </w:tc>
        <w:tc>
          <w:tcPr>
            <w:tcW w:type="dxa" w:w="1440"/>
          </w:tcPr>
          <w:p>
            <w:r>
              <w:rPr>
                <w:rFonts w:ascii="Calibri" w:hAnsi="Calibri"/>
                <w:sz w:val="22"/>
              </w:rPr>
              <w:t>Open Market Buy</w:t>
            </w:r>
          </w:p>
        </w:tc>
        <w:tc>
          <w:tcPr>
            <w:tcW w:type="dxa" w:w="1440"/>
          </w:tcPr>
          <w:p>
            <w:r>
              <w:rPr>
                <w:rFonts w:ascii="Calibri" w:hAnsi="Calibri"/>
                <w:sz w:val="22"/>
              </w:rPr>
              <w:t>4,770 shares</w:t>
            </w:r>
          </w:p>
        </w:tc>
        <w:tc>
          <w:tcPr>
            <w:tcW w:type="dxa" w:w="1440"/>
          </w:tcPr>
          <w:p>
            <w:r>
              <w:rPr>
                <w:rFonts w:ascii="Calibri" w:hAnsi="Calibri"/>
                <w:sz w:val="22"/>
              </w:rPr>
              <w:t>June 23, 2026</w:t>
            </w:r>
          </w:p>
        </w:tc>
        <w:tc>
          <w:tcPr>
            <w:tcW w:type="dxa" w:w="1440"/>
          </w:tcPr>
          <w:p>
            <w:r>
              <w:rPr>
                <w:rFonts w:ascii="Calibri" w:hAnsi="Calibri"/>
                <w:sz w:val="22"/>
              </w:rPr>
              <w:t>Discretionary purchase; filed June 24, 2026. Post-transaction holdings: 444,098 shares. Not a 10b5-1 plan. Constructive signal from new CEO shortly after taking the role on June 1.</w:t>
            </w:r>
          </w:p>
        </w:tc>
      </w:tr>
    </w:tbl>
    <w:p>
      <w:r>
        <w:rPr>
          <w:rFonts w:ascii="Calibri" w:hAnsi="Calibri"/>
          <w:b/>
          <w:color w:val="525866"/>
          <w:sz w:val="22"/>
        </w:rPr>
        <w:t xml:space="preserve">Source: </w:t>
      </w:r>
      <w:r>
        <w:rPr>
          <w:rFonts w:ascii="Calibri" w:hAnsi="Calibri"/>
          <w:i/>
          <w:color w:val="525866"/>
          <w:sz w:val="22"/>
        </w:rPr>
        <w:t>SEC Form 4 Filing — Jackson Richard A. (OXY), filed June 24, 2026 (transaction date June 23, 2026). Insider Transaction Data.</w:t>
      </w:r>
    </w:p>
    <w:p>
      <w:r>
        <w:rPr>
          <w:rFonts w:ascii="Calibri" w:hAnsi="Calibri"/>
          <w:color w:val="525866"/>
          <w:sz w:val="22"/>
        </w:rPr>
        <w:t>No open-market sales or 10b5-1 plan initiations have been disclosed by OXY insiders in the period since the Q1 2026 earnings call (May 6, 2026) through August 4, 2026. The absence of insider selling, combined with the new CEO’s discretionary purchase shortly after assuming the role, is a modestly positive signal heading into the Q2 print.</w:t>
      </w:r>
    </w:p>
    <w:p>
      <w:r>
        <w:br w:type="page"/>
      </w:r>
    </w:p>
    <w:p>
      <w:pPr>
        <w:pStyle w:val="Heading2"/>
      </w:pPr>
      <w:r>
        <w:rPr>
          <w:rFonts w:ascii="Calibri" w:hAnsi="Calibri"/>
          <w:b/>
          <w:color w:val="3B4259"/>
          <w:sz w:val="28"/>
        </w:rPr>
        <w:t>8. Peer Commentary Read-Through</w:t>
      </w:r>
    </w:p>
    <w:p>
      <w:r>
        <w:rPr>
          <w:rFonts w:ascii="Calibri" w:hAnsi="Calibri"/>
          <w:b/>
          <w:color w:val="525866"/>
          <w:sz w:val="22"/>
        </w:rPr>
        <w:t xml:space="preserve">Scope: </w:t>
      </w:r>
      <w:r>
        <w:rPr>
          <w:rFonts w:ascii="Calibri" w:hAnsi="Calibri"/>
          <w:color w:val="525866"/>
          <w:sz w:val="22"/>
        </w:rPr>
        <w:t xml:space="preserve">The following commentary is drawn exclusively from peer earnings calls and filings in the last 60 days (June 5 – August 4, 2026) that address the </w:t>
      </w:r>
      <w:r>
        <w:rPr>
          <w:rFonts w:ascii="Calibri" w:hAnsi="Calibri"/>
          <w:b/>
          <w:color w:val="525866"/>
          <w:sz w:val="22"/>
        </w:rPr>
        <w:t>current or future reporting period</w:t>
      </w:r>
      <w:r>
        <w:rPr>
          <w:rFonts w:ascii="Calibri" w:hAnsi="Calibri"/>
          <w:color w:val="525866"/>
          <w:sz w:val="22"/>
        </w:rPr>
        <w:t xml:space="preserve"> (Q3 2026 outlook, full-year 2026 guidance updates, or forward-looking commentary made after Q2 results). Backward-looking commentary on reported Q2 results is excluded except where it provides direct context for OXY’s Q2 setup. Sources: XOM Q2 2026 Earnings Call (July 31, 2026); CVX Q2 2026 Earnings Call (July 31, 2026); FANG Q2 2026 Earnings Call (August 4, 2026); FANG Q2 2026 Earnings Release (August 3, 2026); DVN Q2 2026 Earnings Release (August 4, 2026).</w:t>
      </w:r>
    </w:p>
    <w:p>
      <w:pPr>
        <w:pStyle w:val="Heading3"/>
      </w:pPr>
      <w:r>
        <w:rPr>
          <w:rFonts w:ascii="Calibri" w:hAnsi="Calibri"/>
          <w:b/>
          <w:color w:val="3B4259"/>
          <w:sz w:val="24"/>
        </w:rPr>
        <w:t>8.1 Permian Production &amp; Capital Efficiency — Positive Read-Through</w:t>
      </w:r>
    </w:p>
    <w:p>
      <w:r>
        <w:rPr>
          <w:rFonts w:ascii="Calibri" w:hAnsi="Calibri"/>
          <w:b/>
          <w:color w:val="525866"/>
          <w:sz w:val="22"/>
        </w:rPr>
        <w:t>ExxonMobil (XOM) — Q2 2026 Earnings Call (July 31, 2026):</w:t>
      </w:r>
    </w:p>
    <w:p>
      <w:pPr>
        <w:pStyle w:val="ListBullet"/>
        <w:ind w:left="360" w:hanging="360"/>
      </w:pPr>
      <w:r>
        <w:rPr>
          <w:rFonts w:ascii="Calibri" w:hAnsi="Calibri"/>
          <w:color w:val="525866"/>
          <w:sz w:val="22"/>
        </w:rPr>
        <w:t xml:space="preserve">XOM set a new Permian production record of </w:t>
      </w:r>
      <w:r>
        <w:rPr>
          <w:rFonts w:ascii="Calibri" w:hAnsi="Calibri"/>
          <w:b/>
          <w:color w:val="525866"/>
          <w:sz w:val="22"/>
        </w:rPr>
        <w:t>more than 1.8 million Boe/d</w:t>
      </w:r>
      <w:r>
        <w:rPr>
          <w:rFonts w:ascii="Calibri" w:hAnsi="Calibri"/>
          <w:color w:val="525866"/>
          <w:sz w:val="22"/>
        </w:rPr>
        <w:t xml:space="preserve"> in Q2 2026, in line with its full-year guide, and is deploying 40+ technology developments aimed at doubling recovery with fewer wells and less capital. Management noted that with new gas pipelines coming online, the "real driver will be unconstrained takeaway capacity and maximizing oil production."</w:t>
      </w:r>
    </w:p>
    <w:p>
      <w:pPr>
        <w:pStyle w:val="ListBullet"/>
        <w:ind w:left="360" w:hanging="360"/>
      </w:pPr>
      <w:r>
        <w:rPr>
          <w:rFonts w:ascii="Calibri" w:hAnsi="Calibri"/>
          <w:b/>
          <w:color w:val="525866"/>
          <w:sz w:val="22"/>
        </w:rPr>
        <w:t>OXY Read-Through:</w:t>
      </w:r>
      <w:r>
        <w:rPr>
          <w:rFonts w:ascii="Calibri" w:hAnsi="Calibri"/>
          <w:color w:val="525866"/>
          <w:sz w:val="22"/>
        </w:rPr>
        <w:t xml:space="preserve"> XOM’s record Permian output and aggressive technology deployment (4-mile laterals, 1,200 wells ≥3 miles since 2020) confirm a basin-wide trend toward higher efficiency and production from fewer wells. OXY’s own 7% new well cost improvement target and unconventional EOR program are consistent with this theme. The emphasis on maximizing oil production as takeaway constraints ease is directly relevant to OXY’s Permian Resources segment.</w:t>
      </w:r>
    </w:p>
    <w:p>
      <w:r>
        <w:rPr>
          <w:rFonts w:ascii="Calibri" w:hAnsi="Calibri"/>
          <w:b/>
          <w:color w:val="525866"/>
          <w:sz w:val="22"/>
        </w:rPr>
        <w:t>Chevron (CVX) — Q2 2026 Earnings Call (July 31, 2026):</w:t>
      </w:r>
    </w:p>
    <w:p>
      <w:pPr>
        <w:pStyle w:val="ListBullet"/>
        <w:ind w:left="360" w:hanging="360"/>
      </w:pPr>
      <w:r>
        <w:rPr>
          <w:rFonts w:ascii="Calibri" w:hAnsi="Calibri"/>
          <w:color w:val="525866"/>
          <w:sz w:val="22"/>
        </w:rPr>
        <w:t xml:space="preserve">CVX achieved record Permian production and has operated at over 1 million Bbl/d for five consecutive quarters. For 2026, CVX expects </w:t>
      </w:r>
      <w:r>
        <w:rPr>
          <w:rFonts w:ascii="Calibri" w:hAnsi="Calibri"/>
          <w:b/>
          <w:color w:val="525866"/>
          <w:sz w:val="22"/>
        </w:rPr>
        <w:t>25% less CapEx per barrel of oil equivalent</w:t>
      </w:r>
      <w:r>
        <w:rPr>
          <w:rFonts w:ascii="Calibri" w:hAnsi="Calibri"/>
          <w:color w:val="525866"/>
          <w:sz w:val="22"/>
        </w:rPr>
        <w:t xml:space="preserve"> in US shale and tight assets vs. 2025, with Permian capital expected below $3.5B. Management stated they have "largely offset inflationary effects" while growing Permian production, and highlighted "stellar reliability at surface" from optimizing artificial lift and real-time facility optimization.</w:t>
      </w:r>
    </w:p>
    <w:p>
      <w:pPr>
        <w:pStyle w:val="ListBullet"/>
        <w:ind w:left="360" w:hanging="360"/>
      </w:pPr>
      <w:r>
        <w:rPr>
          <w:rFonts w:ascii="Calibri" w:hAnsi="Calibri"/>
          <w:b/>
          <w:color w:val="525866"/>
          <w:sz w:val="22"/>
        </w:rPr>
        <w:t>OXY Read-Through:</w:t>
      </w:r>
      <w:r>
        <w:rPr>
          <w:rFonts w:ascii="Calibri" w:hAnsi="Calibri"/>
          <w:color w:val="525866"/>
          <w:sz w:val="22"/>
        </w:rPr>
        <w:t xml:space="preserve"> CVX’s 25% capital efficiency improvement in the Permian is a strong sector-wide signal that OXY’s own $500M cost savings target and 7% new well cost improvement are achievable and consistent with basin trends. The reliability initiatives (artificial lift optimization, real-time facility management) mirror OXY’s AI-enabled remote operations center deployment. Importantly, CVX’s ability to hold cash costs flat despite inflation provides confidence that OXY’s domestic LOE guidance is credible.</w:t>
      </w:r>
    </w:p>
    <w:p>
      <w:pPr>
        <w:pStyle w:val="ListBullet"/>
        <w:ind w:left="360" w:hanging="360"/>
      </w:pPr>
      <w:r>
        <w:rPr>
          <w:rFonts w:ascii="Calibri" w:hAnsi="Calibri"/>
          <w:color w:val="525866"/>
          <w:sz w:val="22"/>
        </w:rPr>
        <w:t>CVX also signed a 20-year take-or-pay power purchase agreement with Microsoft for 2.67GW in West Texas (Project Kilby), with "strong support in West Texas." This signals significant industrial demand growth for Permian natural gas and power infrastructure.</w:t>
      </w:r>
    </w:p>
    <w:p>
      <w:pPr>
        <w:pStyle w:val="ListBullet"/>
        <w:ind w:left="360" w:hanging="360"/>
      </w:pPr>
      <w:r>
        <w:rPr>
          <w:rFonts w:ascii="Calibri" w:hAnsi="Calibri"/>
          <w:b/>
          <w:color w:val="525866"/>
          <w:sz w:val="22"/>
        </w:rPr>
        <w:t>OXY Read-Through:</w:t>
      </w:r>
      <w:r>
        <w:rPr>
          <w:rFonts w:ascii="Calibri" w:hAnsi="Calibri"/>
          <w:color w:val="525866"/>
          <w:sz w:val="22"/>
        </w:rPr>
        <w:t xml:space="preserve"> Growing in-basin power demand from data centers and AI infrastructure could provide a new demand source for Permian gas, potentially supporting Waha basis differentials over the medium term — a positive for OXY’s midstream gas marketing business.</w:t>
      </w:r>
    </w:p>
    <w:p>
      <w:r>
        <w:rPr>
          <w:rFonts w:ascii="Calibri" w:hAnsi="Calibri"/>
          <w:b/>
          <w:color w:val="525866"/>
          <w:sz w:val="22"/>
        </w:rPr>
        <w:t>Diamondback Energy (FANG) — Q2 2026 Earnings Call (August 4, 2026):</w:t>
      </w:r>
    </w:p>
    <w:p>
      <w:pPr>
        <w:pStyle w:val="ListBullet"/>
        <w:ind w:left="360" w:hanging="360"/>
      </w:pPr>
      <w:r>
        <w:rPr>
          <w:rFonts w:ascii="Calibri" w:hAnsi="Calibri"/>
          <w:color w:val="525866"/>
          <w:sz w:val="22"/>
        </w:rPr>
        <w:t xml:space="preserve">FANG raised full-year 2026 oil production guidance to </w:t>
      </w:r>
      <w:r>
        <w:rPr>
          <w:rFonts w:ascii="Calibri" w:hAnsi="Calibri"/>
          <w:b/>
          <w:color w:val="525866"/>
          <w:sz w:val="22"/>
        </w:rPr>
        <w:t>522+ MBO/d and total BOE to 1,000+ MBOE/d</w:t>
      </w:r>
      <w:r>
        <w:rPr>
          <w:rFonts w:ascii="Calibri" w:hAnsi="Calibri"/>
          <w:color w:val="525866"/>
          <w:sz w:val="22"/>
        </w:rPr>
        <w:t xml:space="preserve"> with full-year CapEx unchanged at ~$3.9B — demonstrating capital efficiency gains allowing higher production without incremental spending. Q3 2026 guidance: 517–527 MBO/d oil, 995–1,015 MBOE/d total.</w:t>
      </w:r>
    </w:p>
    <w:p>
      <w:pPr>
        <w:pStyle w:val="ListBullet"/>
        <w:ind w:left="360" w:hanging="360"/>
      </w:pPr>
      <w:r>
        <w:rPr>
          <w:rFonts w:ascii="Calibri" w:hAnsi="Calibri"/>
          <w:b/>
          <w:color w:val="525866"/>
          <w:sz w:val="22"/>
        </w:rPr>
        <w:t>OXY Read-Through:</w:t>
      </w:r>
      <w:r>
        <w:rPr>
          <w:rFonts w:ascii="Calibri" w:hAnsi="Calibri"/>
          <w:color w:val="525866"/>
          <w:sz w:val="22"/>
        </w:rPr>
        <w:t xml:space="preserve"> FANG’s ability to raise production guidance while holding CapEx flat is a direct positive read-through for OXY’s Permian Resources segment, which is expected to see unconventional production increase in Q2 on higher activity and resilient base performance. The basin-wide efficiency theme supports OXY’s 7% new well cost improvement target.</w:t>
      </w:r>
    </w:p>
    <w:p>
      <w:pPr>
        <w:pStyle w:val="ListBullet"/>
        <w:ind w:left="360" w:hanging="360"/>
      </w:pPr>
      <w:r>
        <w:rPr>
          <w:rFonts w:ascii="Calibri" w:hAnsi="Calibri"/>
          <w:color w:val="525866"/>
          <w:sz w:val="22"/>
        </w:rPr>
        <w:t xml:space="preserve">FANG CEO Kaes Van’t Hof stated that </w:t>
      </w:r>
      <w:r>
        <w:rPr>
          <w:rFonts w:ascii="Calibri" w:hAnsi="Calibri"/>
          <w:b/>
          <w:color w:val="525866"/>
          <w:sz w:val="22"/>
        </w:rPr>
        <w:t>"worldwide inventory levels will remain low for the foreseeable future"</w:t>
      </w:r>
      <w:r>
        <w:rPr>
          <w:rFonts w:ascii="Calibri" w:hAnsi="Calibri"/>
          <w:color w:val="525866"/>
          <w:sz w:val="22"/>
        </w:rPr>
        <w:t xml:space="preserve"> and that "inventories are draining, not only on the oil side, but on the product side" and "are going to have to be refilled," providing a "longer-term bid for oil." He acknowledged high volatility but emphasized that "crude oil that comes out of inventories today has to be replaced tomorrow and over a multiyear period that should result in a bid for oil for a longer period of time."</w:t>
      </w:r>
    </w:p>
    <w:p>
      <w:pPr>
        <w:pStyle w:val="ListBullet"/>
        <w:ind w:left="360" w:hanging="360"/>
      </w:pPr>
      <w:r>
        <w:rPr>
          <w:rFonts w:ascii="Calibri" w:hAnsi="Calibri"/>
          <w:b/>
          <w:color w:val="525866"/>
          <w:sz w:val="22"/>
        </w:rPr>
        <w:t>OXY Read-Through:</w:t>
      </w:r>
      <w:r>
        <w:rPr>
          <w:rFonts w:ascii="Calibri" w:hAnsi="Calibri"/>
          <w:color w:val="525866"/>
          <w:sz w:val="22"/>
        </w:rPr>
        <w:t xml:space="preserve"> FANG’s macro view directly supports OXY management’s own 2027 inflection point thesis (industry at sub-25% reserve replacement ratio, supply-demand tightening). If inventory draws continue, the oil price floor is structurally higher than pre-conflict levels — a positive for OXY’s multi-year FCF improvement roadmap.</w:t>
      </w:r>
    </w:p>
    <w:p>
      <w:pPr>
        <w:pStyle w:val="Heading3"/>
      </w:pPr>
      <w:r>
        <w:rPr>
          <w:rFonts w:ascii="Calibri" w:hAnsi="Calibri"/>
          <w:b/>
          <w:color w:val="3B4259"/>
          <w:sz w:val="24"/>
        </w:rPr>
        <w:t>8.2 Permian Gas &amp; Midstream — Mixed Read-Through</w:t>
      </w:r>
    </w:p>
    <w:p>
      <w:r>
        <w:rPr>
          <w:rFonts w:ascii="Calibri" w:hAnsi="Calibri"/>
          <w:b/>
          <w:color w:val="525866"/>
          <w:sz w:val="22"/>
        </w:rPr>
        <w:t>Diamondback Energy (FANG) — Q2 2026 Earnings Call (August 4, 2026):</w:t>
      </w:r>
    </w:p>
    <w:p>
      <w:pPr>
        <w:pStyle w:val="ListBullet"/>
        <w:ind w:left="360" w:hanging="360"/>
      </w:pPr>
      <w:r>
        <w:rPr>
          <w:rFonts w:ascii="Calibri" w:hAnsi="Calibri"/>
          <w:color w:val="525866"/>
          <w:sz w:val="22"/>
        </w:rPr>
        <w:t xml:space="preserve">Waha natural gas prices have </w:t>
      </w:r>
      <w:r>
        <w:rPr>
          <w:rFonts w:ascii="Calibri" w:hAnsi="Calibri"/>
          <w:b/>
          <w:color w:val="525866"/>
          <w:sz w:val="22"/>
        </w:rPr>
        <w:t>"firmed up a little bit" and been "positive for the whole month of July"</w:t>
      </w:r>
      <w:r>
        <w:rPr>
          <w:rFonts w:ascii="Calibri" w:hAnsi="Calibri"/>
          <w:color w:val="525866"/>
          <w:sz w:val="22"/>
        </w:rPr>
        <w:t xml:space="preserve"> (Q3 2026 to date), which FANG described as a "nice tailwind" attributed to new pipes from Energy Transfer and Whitewater starting to flow. FANG’s gas production "continues to outperform expectations" and is expected to continue over the "next ten plus years."</w:t>
      </w:r>
    </w:p>
    <w:p>
      <w:pPr>
        <w:pStyle w:val="ListBullet"/>
        <w:ind w:left="360" w:hanging="360"/>
      </w:pPr>
      <w:r>
        <w:rPr>
          <w:rFonts w:ascii="Calibri" w:hAnsi="Calibri"/>
          <w:b/>
          <w:color w:val="525866"/>
          <w:sz w:val="22"/>
        </w:rPr>
        <w:t>OXY Read-Through:</w:t>
      </w:r>
      <w:r>
        <w:rPr>
          <w:rFonts w:ascii="Calibri" w:hAnsi="Calibri"/>
          <w:color w:val="525866"/>
          <w:sz w:val="22"/>
        </w:rPr>
        <w:t xml:space="preserve"> Waha turning positive in July is a direct positive for OXY’s midstream gas marketing business in Q3 2026. However, this also confirms that the wide Waha-to-Gulf Coast spread that drove OXY’s Q1 2026 midstream blowout is narrowing as new pipeline capacity comes online — consistent with management’s own Q1 guidance that the spread would narrow in H2 2026. The Q2 2026 midstream performance will depend on how wide the spread remained during April–June before the new pipes came online.</w:t>
      </w:r>
    </w:p>
    <w:p>
      <w:pPr>
        <w:pStyle w:val="ListBullet"/>
        <w:ind w:left="360" w:hanging="360"/>
      </w:pPr>
      <w:r>
        <w:rPr>
          <w:rFonts w:ascii="Calibri" w:hAnsi="Calibri"/>
          <w:color w:val="525866"/>
          <w:sz w:val="22"/>
        </w:rPr>
        <w:t>FANG is pursuing a "gas mega theme" — developing a shovel-ready power project at its Bryant Ranch location near Midland to deliver first gas as soon as H2 2027, targeting 200–250 MMcf/d for data center and power demand at a "Waha plus with a floor" contract structure.</w:t>
      </w:r>
    </w:p>
    <w:p>
      <w:pPr>
        <w:pStyle w:val="ListBullet"/>
        <w:ind w:left="360" w:hanging="360"/>
      </w:pPr>
      <w:r>
        <w:rPr>
          <w:rFonts w:ascii="Calibri" w:hAnsi="Calibri"/>
          <w:b/>
          <w:color w:val="525866"/>
          <w:sz w:val="22"/>
        </w:rPr>
        <w:t>OXY Read-Through:</w:t>
      </w:r>
      <w:r>
        <w:rPr>
          <w:rFonts w:ascii="Calibri" w:hAnsi="Calibri"/>
          <w:color w:val="525866"/>
          <w:sz w:val="22"/>
        </w:rPr>
        <w:t xml:space="preserve"> Growing in-basin gas demand from power and data center projects could structurally improve Waha basis over the medium term, benefiting OXY’s gas marketing optimization capabilities. This is a 2027+ theme, not a Q2 2026 driver.</w:t>
      </w:r>
    </w:p>
    <w:p>
      <w:pPr>
        <w:pStyle w:val="ListBullet"/>
        <w:ind w:left="360" w:hanging="360"/>
      </w:pPr>
      <w:r>
        <w:rPr>
          <w:rFonts w:ascii="Calibri" w:hAnsi="Calibri"/>
          <w:color w:val="525866"/>
          <w:sz w:val="22"/>
        </w:rPr>
        <w:t xml:space="preserve">FANG’s Q3 2026 Waha Hub basis swaps are at </w:t>
      </w:r>
      <w:r>
        <w:rPr>
          <w:rFonts w:ascii="Calibri" w:hAnsi="Calibri"/>
          <w:b/>
          <w:color w:val="525866"/>
          <w:sz w:val="22"/>
        </w:rPr>
        <w:t>-$1.87/Mmbtu</w:t>
      </w:r>
      <w:r>
        <w:rPr>
          <w:rFonts w:ascii="Calibri" w:hAnsi="Calibri"/>
          <w:color w:val="525866"/>
          <w:sz w:val="22"/>
        </w:rPr>
        <w:t>, indicating continued expectation of negative Waha differentials in Q3 despite recent improvement. This is a direct read-through for all Permian gas producers.</w:t>
      </w:r>
    </w:p>
    <w:p>
      <w:pPr>
        <w:pStyle w:val="ListBullet"/>
        <w:ind w:left="360" w:hanging="360"/>
      </w:pPr>
      <w:r>
        <w:rPr>
          <w:rFonts w:ascii="Calibri" w:hAnsi="Calibri"/>
          <w:b/>
          <w:color w:val="525866"/>
          <w:sz w:val="22"/>
        </w:rPr>
        <w:t>OXY Read-Through:</w:t>
      </w:r>
      <w:r>
        <w:rPr>
          <w:rFonts w:ascii="Calibri" w:hAnsi="Calibri"/>
          <w:color w:val="525866"/>
          <w:sz w:val="22"/>
        </w:rPr>
        <w:t xml:space="preserve"> Domestic gas realizations will remain negative in Q3 2026 (OXY confirmed -$1.48/Mcf in Q2 2026 per the July 10 8-K). The Waha basis improvement is a gradual process, not a step-change.</w:t>
      </w:r>
    </w:p>
    <w:p>
      <w:r>
        <w:rPr>
          <w:rFonts w:ascii="Calibri" w:hAnsi="Calibri"/>
          <w:b/>
          <w:color w:val="525866"/>
          <w:sz w:val="22"/>
        </w:rPr>
        <w:t>ExxonMobil (XOM) — Q2 2026 Earnings Call (July 31, 2026):</w:t>
      </w:r>
    </w:p>
    <w:p>
      <w:pPr>
        <w:pStyle w:val="ListBullet"/>
        <w:ind w:left="360" w:hanging="360"/>
      </w:pPr>
      <w:r>
        <w:rPr>
          <w:rFonts w:ascii="Calibri" w:hAnsi="Calibri"/>
          <w:color w:val="525866"/>
          <w:sz w:val="22"/>
        </w:rPr>
        <w:t>XOM noted that with new gas pipelines coming online in the Permian, there could be "a shift to materially more gas and NGL growth out of the Permian" as operators are no longer constrained by gas-to-oil ratios. However, the primary driver remains "unconstrained takeaway capacity and maximizing oil production," with additional gas being a byproduct.</w:t>
      </w:r>
    </w:p>
    <w:p>
      <w:pPr>
        <w:pStyle w:val="ListBullet"/>
        <w:ind w:left="360" w:hanging="360"/>
      </w:pPr>
      <w:r>
        <w:rPr>
          <w:rFonts w:ascii="Calibri" w:hAnsi="Calibri"/>
          <w:b/>
          <w:color w:val="525866"/>
          <w:sz w:val="22"/>
        </w:rPr>
        <w:t>OXY Read-Through:</w:t>
      </w:r>
      <w:r>
        <w:rPr>
          <w:rFonts w:ascii="Calibri" w:hAnsi="Calibri"/>
          <w:color w:val="525866"/>
          <w:sz w:val="22"/>
        </w:rPr>
        <w:t xml:space="preserve"> Consistent with OXY’s own guidance that the Waha-to-Gulf Coast spread will narrow in H2 2026. The incremental gas volumes from unconstrained Permian production could weigh on Waha prices in the near term before in-basin demand (power, data centers) absorbs the supply.</w:t>
      </w:r>
    </w:p>
    <w:p>
      <w:pPr>
        <w:pStyle w:val="Heading3"/>
      </w:pPr>
      <w:r>
        <w:rPr>
          <w:rFonts w:ascii="Calibri" w:hAnsi="Calibri"/>
          <w:b/>
          <w:color w:val="3B4259"/>
          <w:sz w:val="24"/>
        </w:rPr>
        <w:t>8.3 Operating Costs &amp; Service Cost Environment — Cautiously Positive</w:t>
      </w:r>
    </w:p>
    <w:p>
      <w:r>
        <w:rPr>
          <w:rFonts w:ascii="Calibri" w:hAnsi="Calibri"/>
          <w:b/>
          <w:color w:val="525866"/>
          <w:sz w:val="22"/>
        </w:rPr>
        <w:t>Diamondback Energy (FANG) — Q2 2026 Earnings Call (August 4, 2026):</w:t>
      </w:r>
    </w:p>
    <w:p>
      <w:pPr>
        <w:pStyle w:val="ListBullet"/>
        <w:ind w:left="360" w:hanging="360"/>
      </w:pPr>
      <w:r>
        <w:rPr>
          <w:rFonts w:ascii="Calibri" w:hAnsi="Calibri"/>
          <w:color w:val="525866"/>
          <w:sz w:val="22"/>
        </w:rPr>
        <w:t>FANG expects LOE to "circle in that $6 number or a little higher" for H2 2026, with inflation on "power, water, and tubulars" flowing through. Casing prices in H2 2026 are expected to rise by "about 1% of total well cost." FANG has mitigated fuel cost inflation by using electric frac fleets. However, FANG flagged that if the U.S. rig count continues to rise (up 60 rigs from the bottom, with forecasts up to 80 additional rigs), "we anticipate we’re going to see some more pressure" on service costs.</w:t>
      </w:r>
    </w:p>
    <w:p>
      <w:pPr>
        <w:pStyle w:val="ListBullet"/>
        <w:ind w:left="360" w:hanging="360"/>
      </w:pPr>
      <w:r>
        <w:rPr>
          <w:rFonts w:ascii="Calibri" w:hAnsi="Calibri"/>
          <w:b/>
          <w:color w:val="525866"/>
          <w:sz w:val="22"/>
        </w:rPr>
        <w:t>OXY Read-Through:</w:t>
      </w:r>
      <w:r>
        <w:rPr>
          <w:rFonts w:ascii="Calibri" w:hAnsi="Calibri"/>
          <w:color w:val="525866"/>
          <w:sz w:val="22"/>
        </w:rPr>
        <w:t xml:space="preserve"> Service cost inflation is real but manageable for efficient operators. OXY’s $500M cost savings target and 7% new well cost improvement provide a buffer. The rig count increase is a watch item for H2 2026 service cost pressure, but OXY’s scale and technology deployment (AI-enabled remote operations) should help offset.</w:t>
      </w:r>
    </w:p>
    <w:p>
      <w:pPr>
        <w:pStyle w:val="ListBullet"/>
        <w:ind w:left="360" w:hanging="360"/>
      </w:pPr>
      <w:r>
        <w:rPr>
          <w:rFonts w:ascii="Calibri" w:hAnsi="Calibri"/>
          <w:color w:val="525866"/>
          <w:sz w:val="22"/>
        </w:rPr>
        <w:t xml:space="preserve">FANG also flagged the Texas Railroad Commission’s </w:t>
      </w:r>
      <w:r>
        <w:rPr>
          <w:rFonts w:ascii="Calibri" w:hAnsi="Calibri"/>
          <w:b/>
          <w:color w:val="525866"/>
          <w:sz w:val="22"/>
        </w:rPr>
        <w:t>moratorium on new produced water disposal well permits</w:t>
      </w:r>
      <w:r>
        <w:rPr>
          <w:rFonts w:ascii="Calibri" w:hAnsi="Calibri"/>
          <w:color w:val="525866"/>
          <w:sz w:val="22"/>
        </w:rPr>
        <w:t xml:space="preserve"> in the Permian Basin to control induced seismicity as a potential operational constraint for all Permian operators.</w:t>
      </w:r>
    </w:p>
    <w:p>
      <w:pPr>
        <w:pStyle w:val="ListBullet"/>
        <w:ind w:left="360" w:hanging="360"/>
      </w:pPr>
      <w:r>
        <w:rPr>
          <w:rFonts w:ascii="Calibri" w:hAnsi="Calibri"/>
          <w:b/>
          <w:color w:val="525866"/>
          <w:sz w:val="22"/>
        </w:rPr>
        <w:t>OXY Read-Through:</w:t>
      </w:r>
      <w:r>
        <w:rPr>
          <w:rFonts w:ascii="Calibri" w:hAnsi="Calibri"/>
          <w:color w:val="525866"/>
          <w:sz w:val="22"/>
        </w:rPr>
        <w:t xml:space="preserve"> A potential headwind for OXY’s Permian operations if the moratorium expands or tightens; water management costs could increase. This is a watch item for the Q2 call.</w:t>
      </w:r>
    </w:p>
    <w:p>
      <w:r>
        <w:rPr>
          <w:rFonts w:ascii="Calibri" w:hAnsi="Calibri"/>
          <w:b/>
          <w:color w:val="525866"/>
          <w:sz w:val="22"/>
        </w:rPr>
        <w:t>Chevron (CVX) — Q2 2026 Earnings Call (July 31, 2026):</w:t>
      </w:r>
    </w:p>
    <w:p>
      <w:pPr>
        <w:pStyle w:val="ListBullet"/>
        <w:ind w:left="360" w:hanging="360"/>
      </w:pPr>
      <w:r>
        <w:rPr>
          <w:rFonts w:ascii="Calibri" w:hAnsi="Calibri"/>
          <w:color w:val="525866"/>
          <w:sz w:val="22"/>
        </w:rPr>
        <w:t>CVX achieved $3B in structural cost reductions (target reached six months early), with 70%+ from efficiency gains. The company is "basically holding cash costs flat" year-over-year, "effectively offsetting the inflation that’s out there." Turnarounds completed in 2026 showed a "30% improvement in cost and 60% improvement in duration" vs. prior cycles.</w:t>
      </w:r>
    </w:p>
    <w:p>
      <w:pPr>
        <w:pStyle w:val="ListBullet"/>
        <w:ind w:left="360" w:hanging="360"/>
      </w:pPr>
      <w:r>
        <w:rPr>
          <w:rFonts w:ascii="Calibri" w:hAnsi="Calibri"/>
          <w:b/>
          <w:color w:val="525866"/>
          <w:sz w:val="22"/>
        </w:rPr>
        <w:t>OXY Read-Through:</w:t>
      </w:r>
      <w:r>
        <w:rPr>
          <w:rFonts w:ascii="Calibri" w:hAnsi="Calibri"/>
          <w:color w:val="525866"/>
          <w:sz w:val="22"/>
        </w:rPr>
        <w:t xml:space="preserve"> CVX’s cost discipline confirms that OXY’s own cost reduction targets are achievable in the current environment. The turnaround efficiency improvement is particularly relevant for OXY’s Gulf of America operations, where planned facility maintenance is expected to modestly reduce Q2 volumes.</w:t>
      </w:r>
    </w:p>
    <w:p>
      <w:pPr>
        <w:pStyle w:val="Heading3"/>
      </w:pPr>
      <w:r>
        <w:rPr>
          <w:rFonts w:ascii="Calibri" w:hAnsi="Calibri"/>
          <w:b/>
          <w:color w:val="3B4259"/>
          <w:sz w:val="24"/>
        </w:rPr>
        <w:t>8.4 Enhanced Oil Recovery (EOR) — Highly Relevant Positive Read-Through</w:t>
      </w:r>
    </w:p>
    <w:p>
      <w:r>
        <w:rPr>
          <w:rFonts w:ascii="Calibri" w:hAnsi="Calibri"/>
          <w:b/>
          <w:color w:val="525866"/>
          <w:sz w:val="22"/>
        </w:rPr>
        <w:t>Diamondback Energy (FANG) — Q2 2026 Earnings Call (August 4, 2026):</w:t>
      </w:r>
    </w:p>
    <w:p>
      <w:pPr>
        <w:pStyle w:val="ListBullet"/>
        <w:ind w:left="360" w:hanging="360"/>
      </w:pPr>
      <w:r>
        <w:rPr>
          <w:rFonts w:ascii="Calibri" w:hAnsi="Calibri"/>
          <w:color w:val="525866"/>
          <w:sz w:val="22"/>
        </w:rPr>
        <w:t xml:space="preserve">FANG executed a </w:t>
      </w:r>
      <w:r>
        <w:rPr>
          <w:rFonts w:ascii="Calibri" w:hAnsi="Calibri"/>
          <w:b/>
          <w:color w:val="525866"/>
          <w:sz w:val="22"/>
        </w:rPr>
        <w:t>12-well EOR project in Q2 2026</w:t>
      </w:r>
      <w:r>
        <w:rPr>
          <w:rFonts w:ascii="Calibri" w:hAnsi="Calibri"/>
          <w:color w:val="525866"/>
          <w:sz w:val="22"/>
        </w:rPr>
        <w:t xml:space="preserve"> with "initial results very positive" — some wells saw production "triple or quadruple" while others saw zero uplift, with an average uplift of 100–150 Bbl/d on 150–200 Bbl/d wells. FANG CEO described enhanced recovery as a "mega theme" for the oil side of the Permian, with plans to apply learnings to the next group of wells in Q3 2026. Management noted this could lead to "shallowing of the decline rate" across the basin.</w:t>
      </w:r>
    </w:p>
    <w:p>
      <w:pPr>
        <w:pStyle w:val="ListBullet"/>
        <w:ind w:left="360" w:hanging="360"/>
      </w:pPr>
      <w:r>
        <w:rPr>
          <w:rFonts w:ascii="Calibri" w:hAnsi="Calibri"/>
          <w:b/>
          <w:color w:val="525866"/>
          <w:sz w:val="22"/>
        </w:rPr>
        <w:t>OXY Read-Through:</w:t>
      </w:r>
      <w:r>
        <w:rPr>
          <w:rFonts w:ascii="Calibri" w:hAnsi="Calibri"/>
          <w:color w:val="525866"/>
          <w:sz w:val="22"/>
        </w:rPr>
        <w:t xml:space="preserve"> This is a highly significant read-through for OXY, which is the industry leader in CO2 EOR and unconventional EOR. FANG’s early-stage EOR results validate the technology’s potential in the Permian, and OXY’s more advanced program (currently running ~100,000 Boe/d from core EOR positions) is well ahead of peers. The basin-wide adoption of EOR could accelerate the decline rate improvement theme that OXY has been emphasizing — targeting a base decline rate below 20% by end of decade. This is a structural positive for OXY’s long-term FCF durability thesis.</w:t>
      </w:r>
    </w:p>
    <w:p>
      <w:pPr>
        <w:pStyle w:val="Heading3"/>
      </w:pPr>
      <w:r>
        <w:rPr>
          <w:rFonts w:ascii="Calibri" w:hAnsi="Calibri"/>
          <w:b/>
          <w:color w:val="3B4259"/>
          <w:sz w:val="24"/>
        </w:rPr>
        <w:t>8.5 Macro &amp; Commodity Outlook — Constructive but Volatile</w:t>
      </w:r>
    </w:p>
    <w:p>
      <w:r>
        <w:rPr>
          <w:rFonts w:ascii="Calibri" w:hAnsi="Calibri"/>
          <w:b/>
          <w:color w:val="525866"/>
          <w:sz w:val="22"/>
        </w:rPr>
        <w:t>ExxonMobil (XOM) — Q2 2026 Earnings Call (July 31, 2026):</w:t>
      </w:r>
    </w:p>
    <w:p>
      <w:pPr>
        <w:pStyle w:val="ListBullet"/>
        <w:ind w:left="360" w:hanging="360"/>
      </w:pPr>
      <w:r>
        <w:rPr>
          <w:rFonts w:ascii="Calibri" w:hAnsi="Calibri"/>
          <w:color w:val="525866"/>
          <w:sz w:val="22"/>
        </w:rPr>
        <w:t>XOM CEO Darren Woods characterized Q2 as "shaped by disruption but defined by execution" and stated the company is "building a company that can perform through disruption and deliver superior long-term shareholder value across cycles." On the Middle East conflict, Woods stated: "ultimately there’s a solution that the world will arrive at" because the region’s resources are "too critical to the overall economic health of the world for them to stay offline or to be unstable."</w:t>
      </w:r>
    </w:p>
    <w:p>
      <w:pPr>
        <w:pStyle w:val="ListBullet"/>
        <w:ind w:left="360" w:hanging="360"/>
      </w:pPr>
      <w:r>
        <w:rPr>
          <w:rFonts w:ascii="Calibri" w:hAnsi="Calibri"/>
          <w:b/>
          <w:color w:val="525866"/>
          <w:sz w:val="22"/>
        </w:rPr>
        <w:t>OXY Read-Through:</w:t>
      </w:r>
      <w:r>
        <w:rPr>
          <w:rFonts w:ascii="Calibri" w:hAnsi="Calibri"/>
          <w:color w:val="525866"/>
          <w:sz w:val="22"/>
        </w:rPr>
        <w:t xml:space="preserve"> XOM’s view that a Middle East resolution is inevitable (though timing uncertain) is consistent with the market’s current pricing of some Hormuz reopening probability. For OXY, a resolution would reduce the oil price premium but also normalize Al Hosn operations and sulfur logistics — a mixed but net-manageable outcome given OXY’s cost structure improvements.</w:t>
      </w:r>
    </w:p>
    <w:p>
      <w:pPr>
        <w:pStyle w:val="ListBullet"/>
        <w:ind w:left="360" w:hanging="360"/>
      </w:pPr>
      <w:r>
        <w:rPr>
          <w:rFonts w:ascii="Calibri" w:hAnsi="Calibri"/>
          <w:color w:val="525866"/>
          <w:sz w:val="22"/>
        </w:rPr>
        <w:t>XOM also noted that the refining market is expected to remain "very robust" with "very high margins" due to ~3M Bbl/d of global capacity offline, China stopping exports, and ~1M Bbl/d of Russian refining capacity unavailable. This tight product market implies continued strong demand and favorable crude pricing for upstream producers.</w:t>
      </w:r>
    </w:p>
    <w:p>
      <w:pPr>
        <w:pStyle w:val="ListBullet"/>
        <w:ind w:left="360" w:hanging="360"/>
      </w:pPr>
      <w:r>
        <w:rPr>
          <w:rFonts w:ascii="Calibri" w:hAnsi="Calibri"/>
          <w:b/>
          <w:color w:val="525866"/>
          <w:sz w:val="22"/>
        </w:rPr>
        <w:t>OXY Read-Through:</w:t>
      </w:r>
      <w:r>
        <w:rPr>
          <w:rFonts w:ascii="Calibri" w:hAnsi="Calibri"/>
          <w:color w:val="525866"/>
          <w:sz w:val="22"/>
        </w:rPr>
        <w:t xml:space="preserve"> Supportive crude oil demand environment for Q3 2026 and beyond, even if Hormuz partially reopens. The refining margin strength provides a demand floor for crude.</w:t>
      </w:r>
    </w:p>
    <w:p>
      <w:r>
        <w:rPr>
          <w:rFonts w:ascii="Calibri" w:hAnsi="Calibri"/>
          <w:b/>
          <w:color w:val="525866"/>
          <w:sz w:val="22"/>
        </w:rPr>
        <w:t>Chevron (CVX) — Q2 2026 Earnings Call (July 31, 2026):</w:t>
      </w:r>
    </w:p>
    <w:p>
      <w:pPr>
        <w:pStyle w:val="ListBullet"/>
        <w:ind w:left="360" w:hanging="360"/>
      </w:pPr>
      <w:r>
        <w:rPr>
          <w:rFonts w:ascii="Calibri" w:hAnsi="Calibri"/>
          <w:color w:val="525866"/>
          <w:sz w:val="22"/>
        </w:rPr>
        <w:t>CVX CEO Mike Wirth stated that "demand destruction is not obvious to me at any significant scale" for products, and anticipated "some upward pressure on product pricing into the third quarter and perhaps beyond." CVX remains confident in its 2030 objectives including 2–3% annual production growth and 10%+ adjusted FCF growth at flat commodity prices lower than today.</w:t>
      </w:r>
    </w:p>
    <w:p>
      <w:pPr>
        <w:pStyle w:val="ListBullet"/>
        <w:ind w:left="360" w:hanging="360"/>
      </w:pPr>
      <w:r>
        <w:rPr>
          <w:rFonts w:ascii="Calibri" w:hAnsi="Calibri"/>
          <w:b/>
          <w:color w:val="525866"/>
          <w:sz w:val="22"/>
        </w:rPr>
        <w:t>OXY Read-Through:</w:t>
      </w:r>
      <w:r>
        <w:rPr>
          <w:rFonts w:ascii="Calibri" w:hAnsi="Calibri"/>
          <w:color w:val="525866"/>
          <w:sz w:val="22"/>
        </w:rPr>
        <w:t xml:space="preserve"> CVX’s demand resilience view and upward Q3 product pricing pressure are constructive for OXY’s Q3 2026 realized prices. CVX’s confidence in its 2030 targets at lower commodity prices also validates OXY’s own multi-year FCF improvement roadmap, which management has anchored at prices below current levels.</w:t>
      </w:r>
    </w:p>
    <w:p>
      <w:r>
        <w:rPr>
          <w:rFonts w:ascii="Calibri" w:hAnsi="Calibri"/>
          <w:b/>
          <w:color w:val="525866"/>
          <w:sz w:val="22"/>
        </w:rPr>
        <w:t>Devon Energy (DVN) — Q2 2026 Earnings Release (August 4, 2026):</w:t>
      </w:r>
    </w:p>
    <w:p>
      <w:pPr>
        <w:pStyle w:val="ListBullet"/>
        <w:ind w:left="360" w:hanging="360"/>
      </w:pPr>
      <w:r>
        <w:rPr>
          <w:rFonts w:ascii="Calibri" w:hAnsi="Calibri"/>
          <w:color w:val="525866"/>
          <w:sz w:val="22"/>
        </w:rPr>
        <w:t>DVN reported its highest quarterly profit since 2022, with average realized price of $88.09/Bbl (vs. $62.97/Bbl a year earlier) and Q2 production of 1.36M Boe/d (vs. 841K Boe/d a year earlier, boosted by the Coterra merger). Brent averaged $89.62/Bbl in Q2, up 19.2% YoY.</w:t>
      </w:r>
    </w:p>
    <w:p>
      <w:pPr>
        <w:pStyle w:val="ListBullet"/>
        <w:ind w:left="360" w:hanging="360"/>
      </w:pPr>
      <w:r>
        <w:rPr>
          <w:rFonts w:ascii="Calibri" w:hAnsi="Calibri"/>
          <w:b/>
          <w:color w:val="525866"/>
          <w:sz w:val="22"/>
        </w:rPr>
        <w:t>OXY Read-Through:</w:t>
      </w:r>
      <w:r>
        <w:rPr>
          <w:rFonts w:ascii="Calibri" w:hAnsi="Calibri"/>
          <w:color w:val="525866"/>
          <w:sz w:val="22"/>
        </w:rPr>
        <w:t xml:space="preserve"> DVN’s realized price of $88.09/Bbl vs. OXY’s confirmed $96.78/Bbl worldwide oil realization highlights OXY’s premium realization (104% of WTI vs. DVN’s ~95% of Brent). OXY’s international portfolio and commodity mix provide a higher realized price per barrel, which is a competitive advantage in the current environment.</w:t>
      </w:r>
    </w:p>
    <w:p>
      <w:r>
        <w:br w:type="page"/>
      </w:r>
    </w:p>
    <w:p>
      <w:pPr>
        <w:pStyle w:val="Heading2"/>
      </w:pPr>
      <w:r>
        <w:rPr>
          <w:rFonts w:ascii="Calibri" w:hAnsi="Calibri"/>
          <w:b/>
          <w:color w:val="3B4259"/>
          <w:sz w:val="28"/>
        </w:rPr>
        <w:t>9. Analyst Conclusion</w:t>
      </w:r>
    </w:p>
    <w:p>
      <w:r>
        <w:rPr>
          <w:rFonts w:ascii="Calibri" w:hAnsi="Calibri"/>
          <w:color w:val="525866"/>
          <w:sz w:val="22"/>
        </w:rPr>
        <w:t xml:space="preserve">OXY enters its Q2 2026 earnings print on August 5 with a </w:t>
      </w:r>
      <w:r>
        <w:rPr>
          <w:rFonts w:ascii="Calibri" w:hAnsi="Calibri"/>
          <w:b/>
          <w:color w:val="525866"/>
          <w:sz w:val="22"/>
        </w:rPr>
        <w:t>constructive but high-bar setup</w:t>
      </w:r>
      <w:r>
        <w:rPr>
          <w:rFonts w:ascii="Calibri" w:hAnsi="Calibri"/>
          <w:color w:val="525866"/>
          <w:sz w:val="22"/>
        </w:rPr>
        <w:t>. The July 10 Earnings Considerations 8-K has already confirmed the most important variable — worldwide oil realized prices of $96.78/Bbl (104% of WTI) — removing the largest source of uncertainty and providing a strong revenue floor. Consensus operating EPS of ~$1.89 represents a 206% increase from the post-Q1 baseline, driven almost entirely by the oil price surge from the U.S.-Iran conflict. The key questions for the print are: (1) whether midstream gas marketing can again outperform guidance given the wide Waha-to-Gulf Coast spread that persisted through Q2; (2) whether Al Hosn operational constraints normalized as guided before quarter-end; and (3) the magnitude of the $156M collar settlement headwind on reported cash flow metrics.</w:t>
      </w:r>
    </w:p>
    <w:p>
      <w:r>
        <w:rPr>
          <w:rFonts w:ascii="Calibri" w:hAnsi="Calibri"/>
          <w:color w:val="525866"/>
          <w:sz w:val="22"/>
        </w:rPr>
        <w:t>The peer read-through is broadly positive for OXY’s Q2 setup: XOM’s record Permian production, CVX’s 25% capital efficiency improvement, and FANG’s raised production guidance all confirm a strong Permian operational environment. FANG’s EOR results are particularly notable as a validation of OXY’s core technology differentiation. The macro backdrop — with XOM and CVX both flagging resilient product demand and upward Q3 pricing pressure — supports OXY’s H2 2026 earnings trajectory even if Hormuz partially reopens.</w:t>
      </w:r>
    </w:p>
    <w:p>
      <w:r>
        <w:rPr>
          <w:rFonts w:ascii="Calibri" w:hAnsi="Calibri"/>
          <w:color w:val="525866"/>
          <w:sz w:val="22"/>
        </w:rPr>
        <w:t xml:space="preserve">The primary risk to the setup is </w:t>
      </w:r>
      <w:r>
        <w:rPr>
          <w:rFonts w:ascii="Calibri" w:hAnsi="Calibri"/>
          <w:b/>
          <w:color w:val="525866"/>
          <w:sz w:val="22"/>
        </w:rPr>
        <w:t>geopolitical resolution</w:t>
      </w:r>
      <w:r>
        <w:rPr>
          <w:rFonts w:ascii="Calibri" w:hAnsi="Calibri"/>
          <w:color w:val="525866"/>
          <w:sz w:val="22"/>
        </w:rPr>
        <w:t>: the emerging Iran-Oman Hormuz deal and Trump’s August 2 cancellation of planned strikes have introduced meaningful probability of oil price normalization in H2 2026. The FY 2026 EPS consensus has already moderated from its post-Q1 peak ($6.33 → $5.27), reflecting this risk. OXY’s hedges (100K Bbl/d at $55 floor through December 2026) provide some downside protection but cap upside — and the $156M Q2 collar settlement cost confirms the hedges are already in-the-money at current prices.</w:t>
      </w:r>
    </w:p>
    <w:p>
      <w:r>
        <w:rPr>
          <w:rFonts w:ascii="Calibri" w:hAnsi="Calibri"/>
          <w:color w:val="525866"/>
          <w:sz w:val="22"/>
        </w:rPr>
        <w:t xml:space="preserve">The Q2 call will be </w:t>
      </w:r>
      <w:r>
        <w:rPr>
          <w:rFonts w:ascii="Calibri" w:hAnsi="Calibri"/>
          <w:b/>
          <w:color w:val="525866"/>
          <w:sz w:val="22"/>
        </w:rPr>
        <w:t>CEO Richard Jackson’s first</w:t>
      </w:r>
      <w:r>
        <w:rPr>
          <w:rFonts w:ascii="Calibri" w:hAnsi="Calibri"/>
          <w:color w:val="525866"/>
          <w:sz w:val="22"/>
        </w:rPr>
        <w:t xml:space="preserve"> — investors will focus on his tone on capital allocation (debt reduction pace, preferred equity redemption optionality, share repurchase timing), any update on the Stratus DAC commissioning issue, and whether the $10B principal debt milestone is within reach given the elevated FCF environment. Jackson’s discretionary open-market purchase of 4,770 shares in late June is a modestly constructive signal. The stock’s compressed multiple relative to its operational transformation suggests the market is waiting for proof of execution on the balance sheet targets before rewarding the story — a strong Q2 print with clear debt reduction progress and a constructive H2 outlook could be the catalyst for a rerating.</w:t>
      </w:r>
    </w:p>
    <w:p>
      <w:r>
        <w:rPr>
          <w:rFonts w:ascii="Calibri" w:hAnsi="Calibri"/>
          <w:b/>
          <w:color w:val="525866"/>
          <w:sz w:val="22"/>
        </w:rPr>
        <w:t xml:space="preserve">Bottom Line: </w:t>
      </w:r>
      <w:r>
        <w:rPr>
          <w:rFonts w:ascii="Calibri" w:hAnsi="Calibri"/>
          <w:color w:val="525866"/>
          <w:sz w:val="22"/>
        </w:rPr>
        <w:t>OXY is set up to beat Q2 consensus on EPS and FCF given confirmed realized prices; the swing factors are midstream outperformance and Al Hosn normalization. The bigger debate is H2 2026 — whether the oil price premium from the Iran conflict is durable or fades as Hormuz negotiations progress. Jackson’s first call is an opportunity to reset the narrative around the $10B debt target and long-term FCF durability, which remains the key rerating catalyst.</w:t>
      </w:r>
    </w:p>
    <w:p>
      <w:r>
        <w:br w:type="page"/>
      </w:r>
    </w:p>
    <w:p>
      <w:pPr>
        <w:pStyle w:val="Heading2"/>
      </w:pPr>
      <w:r>
        <w:rPr>
          <w:rFonts w:ascii="Calibri" w:hAnsi="Calibri"/>
          <w:b/>
          <w:color w:val="3B4259"/>
          <w:sz w:val="28"/>
        </w:rPr>
        <w:t>Disclosures &amp; Sources</w:t>
      </w:r>
    </w:p>
    <w:p>
      <w:r>
        <w:rPr>
          <w:rFonts w:ascii="Calibri" w:hAnsi="Calibri"/>
          <w:i/>
          <w:color w:val="525866"/>
          <w:sz w:val="22"/>
        </w:rPr>
        <w:t>This document is prepared for informational purposes only and does not constitute investment advice. All data is sourced from publicly available filings and third-party data providers as cited throughout.</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EPS, Production, LOE, FCF, CapEx consensus and actuals for OXY (OXY US). Source: https://insights.visiblealpha.com/mex/OXY_US/NMV/</w:t>
      </w:r>
    </w:p>
    <w:p>
      <w:pPr>
        <w:pStyle w:val="ListBullet"/>
        <w:ind w:left="360" w:hanging="360"/>
      </w:pPr>
      <w:r>
        <w:rPr>
          <w:rFonts w:ascii="Calibri" w:hAnsi="Calibri"/>
          <w:b/>
          <w:color w:val="525866"/>
          <w:sz w:val="22"/>
        </w:rPr>
        <w:t>OXY Q1 2026 Earnings Release</w:t>
      </w:r>
      <w:r>
        <w:rPr>
          <w:rFonts w:ascii="Calibri" w:hAnsi="Calibri"/>
          <w:color w:val="525866"/>
          <w:sz w:val="22"/>
        </w:rPr>
        <w:t xml:space="preserve"> — May 5, 2026. SEC EDGAR filing.</w:t>
      </w:r>
    </w:p>
    <w:p>
      <w:pPr>
        <w:pStyle w:val="ListBullet"/>
        <w:ind w:left="360" w:hanging="360"/>
      </w:pPr>
      <w:r>
        <w:rPr>
          <w:rFonts w:ascii="Calibri" w:hAnsi="Calibri"/>
          <w:b/>
          <w:color w:val="525866"/>
          <w:sz w:val="22"/>
        </w:rPr>
        <w:t>OXY Q1 2026 Earnings Call Transcript</w:t>
      </w:r>
      <w:r>
        <w:rPr>
          <w:rFonts w:ascii="Calibri" w:hAnsi="Calibri"/>
          <w:color w:val="525866"/>
          <w:sz w:val="22"/>
        </w:rPr>
        <w:t xml:space="preserve"> — May 6, 2026.</w:t>
      </w:r>
    </w:p>
    <w:p>
      <w:pPr>
        <w:pStyle w:val="ListBullet"/>
        <w:ind w:left="360" w:hanging="360"/>
      </w:pPr>
      <w:r>
        <w:rPr>
          <w:rFonts w:ascii="Calibri" w:hAnsi="Calibri"/>
          <w:b/>
          <w:color w:val="525866"/>
          <w:sz w:val="22"/>
        </w:rPr>
        <w:t>OXY Q2 2026 Earnings Considerations 8-K</w:t>
      </w:r>
      <w:r>
        <w:rPr>
          <w:rFonts w:ascii="Calibri" w:hAnsi="Calibri"/>
          <w:color w:val="525866"/>
          <w:sz w:val="22"/>
        </w:rPr>
        <w:t xml:space="preserve"> — July 10, 2026. SEC EDGAR filing (000162828026047886).</w:t>
      </w:r>
    </w:p>
    <w:p>
      <w:pPr>
        <w:pStyle w:val="ListBullet"/>
        <w:ind w:left="360" w:hanging="360"/>
      </w:pPr>
      <w:r>
        <w:rPr>
          <w:rFonts w:ascii="Calibri" w:hAnsi="Calibri"/>
          <w:b/>
          <w:color w:val="525866"/>
          <w:sz w:val="22"/>
        </w:rPr>
        <w:t>XOM Q2 2026 Earnings Call Transcript</w:t>
      </w:r>
      <w:r>
        <w:rPr>
          <w:rFonts w:ascii="Calibri" w:hAnsi="Calibri"/>
          <w:color w:val="525866"/>
          <w:sz w:val="22"/>
        </w:rPr>
        <w:t xml:space="preserve"> — July 31, 2026.</w:t>
      </w:r>
    </w:p>
    <w:p>
      <w:pPr>
        <w:pStyle w:val="ListBullet"/>
        <w:ind w:left="360" w:hanging="360"/>
      </w:pPr>
      <w:r>
        <w:rPr>
          <w:rFonts w:ascii="Calibri" w:hAnsi="Calibri"/>
          <w:b/>
          <w:color w:val="525866"/>
          <w:sz w:val="22"/>
        </w:rPr>
        <w:t>CVX Q2 2026 Earnings Call Transcript</w:t>
      </w:r>
      <w:r>
        <w:rPr>
          <w:rFonts w:ascii="Calibri" w:hAnsi="Calibri"/>
          <w:color w:val="525866"/>
          <w:sz w:val="22"/>
        </w:rPr>
        <w:t xml:space="preserve"> — July 31, 2026.</w:t>
      </w:r>
    </w:p>
    <w:p>
      <w:pPr>
        <w:pStyle w:val="ListBullet"/>
        <w:ind w:left="360" w:hanging="360"/>
      </w:pPr>
      <w:r>
        <w:rPr>
          <w:rFonts w:ascii="Calibri" w:hAnsi="Calibri"/>
          <w:b/>
          <w:color w:val="525866"/>
          <w:sz w:val="22"/>
        </w:rPr>
        <w:t>FANG Q2 2026 Earnings Call Transcript &amp; Earnings Release</w:t>
      </w:r>
      <w:r>
        <w:rPr>
          <w:rFonts w:ascii="Calibri" w:hAnsi="Calibri"/>
          <w:color w:val="525866"/>
          <w:sz w:val="22"/>
        </w:rPr>
        <w:t xml:space="preserve"> — August 3–4, 2026. SEC EDGAR filing (000153983826000137).</w:t>
      </w:r>
    </w:p>
    <w:p>
      <w:pPr>
        <w:pStyle w:val="ListBullet"/>
        <w:ind w:left="360" w:hanging="360"/>
      </w:pPr>
      <w:r>
        <w:rPr>
          <w:rFonts w:ascii="Calibri" w:hAnsi="Calibri"/>
          <w:b/>
          <w:color w:val="525866"/>
          <w:sz w:val="22"/>
        </w:rPr>
        <w:t>DVN Q2 2026 Earnings Release</w:t>
      </w:r>
      <w:r>
        <w:rPr>
          <w:rFonts w:ascii="Calibri" w:hAnsi="Calibri"/>
          <w:color w:val="525866"/>
          <w:sz w:val="22"/>
        </w:rPr>
        <w:t xml:space="preserve"> — August 4, 2026. SEC EDGAR filing (000119312526332824).</w:t>
      </w:r>
    </w:p>
    <w:p>
      <w:pPr>
        <w:pStyle w:val="ListBullet"/>
        <w:ind w:left="360" w:hanging="360"/>
      </w:pPr>
      <w:r>
        <w:rPr>
          <w:rFonts w:ascii="Calibri" w:hAnsi="Calibri"/>
          <w:b/>
          <w:color w:val="525866"/>
          <w:sz w:val="22"/>
        </w:rPr>
        <w:t>SEC Form 4 — Jackson Richard A. (OXY)</w:t>
      </w:r>
      <w:r>
        <w:rPr>
          <w:rFonts w:ascii="Calibri" w:hAnsi="Calibri"/>
          <w:color w:val="525866"/>
          <w:sz w:val="22"/>
        </w:rPr>
        <w:t xml:space="preserve"> — Filed June 24, 2026. https://www.sec.gov/Archives/edgar/data/797468/000162828026045313/xslF345X06/wk-form4_1782342238.xml</w:t>
      </w:r>
    </w:p>
    <w:p>
      <w:pPr>
        <w:pStyle w:val="ListBullet"/>
        <w:ind w:left="360" w:hanging="360"/>
      </w:pPr>
      <w:r>
        <w:rPr>
          <w:rFonts w:ascii="Calibri" w:hAnsi="Calibri"/>
          <w:b/>
          <w:color w:val="525866"/>
          <w:sz w:val="22"/>
        </w:rPr>
        <w:t>Insider Transaction Data</w:t>
      </w:r>
      <w:r>
        <w:rPr>
          <w:rFonts w:ascii="Calibri" w:hAnsi="Calibri"/>
          <w:color w:val="525866"/>
          <w:sz w:val="22"/>
        </w:rPr>
        <w:t xml:space="preserve"> — SEC Form 4 Filings Database. Source: https://www.sec.gov/</w:t>
      </w:r>
    </w:p>
    <w:p>
      <w:pPr>
        <w:pStyle w:val="ListBullet"/>
        <w:ind w:left="360" w:hanging="360"/>
      </w:pPr>
      <w:r>
        <w:rPr>
          <w:rFonts w:ascii="Calibri" w:hAnsi="Calibri"/>
          <w:b/>
          <w:color w:val="525866"/>
          <w:sz w:val="22"/>
        </w:rPr>
        <w:t>Daily News &amp; Market Data</w:t>
      </w:r>
      <w:r>
        <w:rPr>
          <w:rFonts w:ascii="Calibri" w:hAnsi="Calibri"/>
          <w:color w:val="525866"/>
          <w:sz w:val="22"/>
        </w:rPr>
        <w:t xml:space="preserve"> — Reuters, Bloomberg, WSJ, Washington Post, Barron’s, CNBC (August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