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eg-earnings-predictions--2026-08-04"/>
    <w:p>
      <w:pPr>
        <w:pStyle w:val="Heading1"/>
      </w:pPr>
      <w:r>
        <w:t xml:space="preserve">PEG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~$0.80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~$2.70B vs. cons $2.66B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PSE&amp;G regulated net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335M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4.28</m:t>
              </m:r>
              <m:r>
                <m:rPr>
                  <m:sty m:val="p"/>
                </m:rPr>
                <m:t>−</m:t>
              </m:r>
            </m:oMath>
            <w:r>
              <w:t xml:space="preserve">4.40 (mid $4.34) vs. cons $4.36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operating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6-8% vs. cons ~7% (through 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5-yr regulated capex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22.5</m:t>
              </m:r>
              <m:r>
                <m:rPr>
                  <m:sty m:val="p"/>
                </m:rPr>
                <m:t>−</m:t>
              </m:r>
              <m:r>
                <m:t>25.5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24B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Decoupled, ~90% regulated model means the seasonally-small Q2 print is low-drama; an in-line EPS with FY guidance merely reaffirmed (no top-half narrowing) gives little upward-revision fuel, but out-period math is intact (6-8% CAGR, $22.5-25.5B capex) so estimates hold rather than get cut. Stock already sold off ~8% into the print and underperformed XLU, so expectations are reset — a modest relief that stabilizes rather than a follow-through rally; the swing risk is NJ EO1/BPU business-model and PJM RBA cost-allocation commentary.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2026-08-04T01:12:51Z</dcterms:created>
  <dcterms:modified xsi:type="dcterms:W3CDTF">2026-08-04T01:12:51Z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