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eg-earnings-predictions--2026-08-04"/>
    <w:p>
      <w:pPr>
        <w:pStyle w:val="Heading1"/>
      </w:pPr>
      <w:r>
        <w:t xml:space="preserve">PEG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~$0.82 vs. cons $0.79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~$2.58B vs. cons $2.68B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PSE&amp;G Regulated Utility Net Income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~$300M vs. cons $285M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Operating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4.28</m:t>
              </m:r>
              <m:r>
                <m:rPr>
                  <m:sty m:val="p"/>
                </m:rPr>
                <m:t>−</m:t>
              </m:r>
            </m:oMath>
            <w:r>
              <w:t xml:space="preserve">4.40 (mid $4.34) vs. cons $4.36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2026-2030 EPS CAGR / 5-yr Capital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~6-8% CAGR on</w:t>
            </w:r>
            <w:r>
              <w:t xml:space="preserve"> </w:t>
            </w:r>
            <m:oMath>
              <m:r>
                <m:t>24</m:t>
              </m:r>
              <m:r>
                <m:rPr>
                  <m:sty m:val="p"/>
                </m:rPr>
                <m:t>−</m:t>
              </m:r>
              <m:r>
                <m:t>28</m:t>
              </m:r>
              <m:r>
                <m:t>B</m:t>
              </m:r>
              <m:r>
                <m:t>c</m:t>
              </m:r>
              <m:r>
                <m:t>a</m:t>
              </m:r>
              <m:r>
                <m:t>p</m:t>
              </m:r>
              <m:r>
                <m:t>e</m:t>
              </m:r>
              <m:r>
                <m:t>x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7</m:t>
              </m:r>
            </m:oMath>
            <w:r>
              <w:t xml:space="preserve">24B (2026-2030)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Large-Load/Data Center Interconnection Queue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~12GW vs. cons 11.8GW (as of Q2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-0.9% (FADE)</w:t>
            </w:r>
          </w:p>
        </w:tc>
        <w:tc>
          <w:tcPr/>
          <w:p>
            <w:pPr>
              <w:pStyle w:val="Compact"/>
            </w:pPr>
            <w:r>
              <w:t xml:space="preserve">Q2 EPS beat is likely driven by favorable summer weather/capacity revenue rather than structural upside, and management is expected to simply reaffirm the</w:t>
            </w:r>
            <w:r>
              <w:t xml:space="preserve"> </w:t>
            </w:r>
            <m:oMath>
              <m:r>
                <m:t>4.28</m:t>
              </m:r>
              <m:r>
                <m:rPr>
                  <m:sty m:val="p"/>
                </m:rPr>
                <m:t>−</m:t>
              </m:r>
            </m:oMath>
            <w:r>
              <w:t xml:space="preserve">4.40 FY guidance rather than raise it despite the Q1 beat, limiting out-year estimate revisions. Initial relief rally (stock near 52-week lows, low expectations) fades over the week as attention reverts to PJM RBA cost-allocation uncertainty, NJ rate-case/affordability overhang, and lack of a large-load/data-center queue upgrade, capping upward EPS revisions and reversing part of the day-1 pop.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2026-08-04T01:13:53Z</dcterms:created>
  <dcterms:modified xsi:type="dcterms:W3CDTF">2026-08-04T01:13:53Z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