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have enough information now to write a comprehensive earnings preview. Let me also quickly check the stock performance relative to sector and confirm dividend/guidance details already captured.# PSEG (PEG) Q2 2026 Earnings Preview</w:t>
      </w:r>
      <w:r>
        <w:t xml:space="preserve"> </w:t>
      </w:r>
      <w:r>
        <w:rPr>
          <w:b/>
          <w:bCs/>
        </w:rPr>
        <w:t xml:space="preserve">Report Date:</w:t>
      </w:r>
      <w:r>
        <w:t xml:space="preserve"> </w:t>
      </w:r>
      <w:r>
        <w:t xml:space="preserve">Tuesday, August 4, 2026 (before market open) |</w:t>
      </w:r>
      <w:r>
        <w:t xml:space="preserve"> </w:t>
      </w:r>
      <w:r>
        <w:rPr>
          <w:b/>
          <w:bCs/>
        </w:rPr>
        <w:t xml:space="preserve">Call:</w:t>
      </w:r>
      <w:r>
        <w:t xml:space="preserve"> </w:t>
      </w:r>
      <w:r>
        <w:t xml:space="preserve">11:00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PSEG shares have drifted lower heading into earnings, closing at</w:t>
      </w:r>
      <w:r>
        <w:t xml:space="preserve"> </w:t>
      </w:r>
      <w:r>
        <w:rPr>
          <w:b/>
          <w:bCs/>
        </w:rPr>
        <w:t xml:space="preserve">$76.64 on August 3</w:t>
      </w:r>
      <w:r>
        <w:t xml:space="preserve">, near the stock's 52-week low, and well off the 52-week high in the</w:t>
      </w:r>
      <w:r>
        <w:t xml:space="preserve"> </w:t>
      </w:r>
      <m:oMath>
        <m:r>
          <m:t>91</m:t>
        </m:r>
        <m:r>
          <m:t>r</m:t>
        </m:r>
        <m:r>
          <m:t>a</m:t>
        </m:r>
        <m:r>
          <m:t>n</m:t>
        </m:r>
        <m:r>
          <m:t>g</m:t>
        </m:r>
        <m:r>
          <m:t>e</m:t>
        </m:r>
        <m:r>
          <m:t>s</m:t>
        </m:r>
        <m:r>
          <m:t>e</m:t>
        </m:r>
        <m:r>
          <m:t>t</m:t>
        </m:r>
        <m:r>
          <m:t>e</m:t>
        </m:r>
        <m:r>
          <m:t>a</m:t>
        </m:r>
        <m:r>
          <m:t>r</m:t>
        </m:r>
        <m:r>
          <m:t>l</m:t>
        </m:r>
        <m:r>
          <m:t>i</m:t>
        </m:r>
        <m:r>
          <m:t>e</m:t>
        </m:r>
        <m:r>
          <m:t>r</m:t>
        </m:r>
        <m:r>
          <m:t>t</m:t>
        </m:r>
        <m:r>
          <m:t>h</m:t>
        </m:r>
        <m:r>
          <m:t>i</m:t>
        </m:r>
        <m:r>
          <m:t>s</m:t>
        </m:r>
        <m:r>
          <m:t>y</m:t>
        </m:r>
        <m:r>
          <m:t>e</m:t>
        </m:r>
        <m:r>
          <m:t>a</m:t>
        </m:r>
        <m:r>
          <m:t>r</m:t>
        </m:r>
        <m:r>
          <m:rPr>
            <m:sty m:val="p"/>
          </m:rPr>
          <m:t>.</m:t>
        </m:r>
        <m:r>
          <m:t>T</m:t>
        </m:r>
        <m:r>
          <m:t>h</m:t>
        </m:r>
        <m:r>
          <m:t>e</m:t>
        </m:r>
        <m:r>
          <m:t>s</m:t>
        </m:r>
        <m:r>
          <m:t>t</m:t>
        </m:r>
        <m:r>
          <m:t>o</m:t>
        </m:r>
        <m:r>
          <m:t>c</m:t>
        </m:r>
        <m:r>
          <m:t>k</m:t>
        </m:r>
        <m:r>
          <m:t>h</m:t>
        </m:r>
        <m:r>
          <m:t>a</m:t>
        </m:r>
        <m:r>
          <m:t>s</m:t>
        </m:r>
        <m:r>
          <m:t>e</m:t>
        </m:r>
        <m:r>
          <m:t>s</m:t>
        </m:r>
        <m:r>
          <m:t>s</m:t>
        </m:r>
        <m:r>
          <m:t>e</m:t>
        </m:r>
        <m:r>
          <m:t>n</m:t>
        </m:r>
        <m:r>
          <m:t>t</m:t>
        </m:r>
        <m:r>
          <m:t>i</m:t>
        </m:r>
        <m:r>
          <m:t>a</m:t>
        </m:r>
        <m:r>
          <m:t>l</m:t>
        </m:r>
        <m:r>
          <m:t>l</m:t>
        </m:r>
        <m:r>
          <m:t>y</m:t>
        </m:r>
        <m:r>
          <m:t>r</m:t>
        </m:r>
        <m:r>
          <m:t>o</m:t>
        </m:r>
        <m:r>
          <m:t>u</m:t>
        </m:r>
        <m:r>
          <m:t>n</m:t>
        </m:r>
        <m:r>
          <m:t>d</m:t>
        </m:r>
        <m:r>
          <m:rPr>
            <m:sty m:val="p"/>
          </m:rPr>
          <m:t>−</m:t>
        </m:r>
        <m:r>
          <m:t>t</m:t>
        </m:r>
        <m:r>
          <m:t>r</m:t>
        </m:r>
        <m:r>
          <m:t>i</m:t>
        </m:r>
        <m:r>
          <m:t>p</m:t>
        </m:r>
        <m:r>
          <m:t>p</m:t>
        </m:r>
        <m:r>
          <m:t>e</m:t>
        </m:r>
        <m:r>
          <m:t>d</m:t>
        </m:r>
        <m:r>
          <m:t>i</m:t>
        </m:r>
        <m:r>
          <m:t>t</m:t>
        </m:r>
        <m:r>
          <m:t>s</m:t>
        </m:r>
        <m:r>
          <m:t>p</m:t>
        </m:r>
        <m:r>
          <m:t>o</m:t>
        </m:r>
        <m:r>
          <m:t>s</m:t>
        </m:r>
        <m:r>
          <m:t>t</m:t>
        </m:r>
        <m:r>
          <m:rPr>
            <m:sty m:val="p"/>
          </m:rPr>
          <m:t>−</m:t>
        </m:r>
        <m:r>
          <m:t>Q</m:t>
        </m:r>
        <m:r>
          <m:t>1</m:t>
        </m:r>
        <m:r>
          <m:t>r</m:t>
        </m:r>
        <m:r>
          <m:t>a</m:t>
        </m:r>
        <m:r>
          <m:t>l</m:t>
        </m:r>
        <m:r>
          <m:t>l</m:t>
        </m:r>
        <m:r>
          <m:t>y</m:t>
        </m:r>
        <m:r>
          <m:rPr>
            <m:sty m:val="p"/>
          </m:rPr>
          <m:t>(</m:t>
        </m:r>
        <m:r>
          <m:t>i</m:t>
        </m:r>
        <m:r>
          <m:t>t</m:t>
        </m:r>
        <m:r>
          <m:t>t</m:t>
        </m:r>
        <m:r>
          <m:t>o</m:t>
        </m:r>
        <m:r>
          <m:t>u</m:t>
        </m:r>
        <m:r>
          <m:t>c</m:t>
        </m:r>
        <m:r>
          <m:t>h</m:t>
        </m:r>
        <m:r>
          <m:t>e</m:t>
        </m:r>
        <m:r>
          <m:t>d</m:t>
        </m:r>
        <m:r>
          <m:t> </m:t>
        </m:r>
      </m:oMath>
      <w:r>
        <w:t xml:space="preserve">83-84 in late June) as summer weather, rate-case/PJM headline risk and broader utility-sector rotation have weighed on shares. Consensus sell-side sentiment is mixed-to-neutral, with analyst ratings split between Buy and Hold and price targets that still imply meaningful upside from current levels.</w:t>
      </w:r>
    </w:p>
    <w:bookmarkEnd w:id="9"/>
    <w:bookmarkStart w:id="10" w:name="what-wall-street-expects"/>
    <w:p>
      <w:pPr>
        <w:pStyle w:val="Heading2"/>
      </w:pPr>
      <w:r>
        <w:t xml:space="preserve">What Wall Street Expects</w:t>
      </w:r>
    </w:p>
    <w:p>
      <w:pPr>
        <w:pStyle w:val="FirstParagraph"/>
      </w:pPr>
      <w:r>
        <w:t xml:space="preserve">Consensus estimates cluster around:</w:t>
      </w:r>
    </w:p>
    <w:p>
      <w:pPr>
        <w:pStyle w:val="Compact"/>
        <w:numPr>
          <w:ilvl w:val="0"/>
          <w:numId w:val="1001"/>
        </w:numPr>
      </w:pPr>
      <w:r>
        <w:rPr>
          <w:b/>
          <w:bCs/>
        </w:rPr>
        <w:t xml:space="preserve">EPS:</w:t>
      </w:r>
      <w:r>
        <w:t xml:space="preserve"> </w:t>
      </w:r>
      <w:r>
        <w:t xml:space="preserve">roughly</w:t>
      </w:r>
      <w:r>
        <w:t xml:space="preserve"> </w:t>
      </w:r>
      <m:oMath>
        <m:r>
          <m:t>0.79</m:t>
        </m:r>
        <m:r>
          <m:rPr>
            <m:sty m:val="p"/>
          </m:rPr>
          <m:t>–</m:t>
        </m:r>
      </m:oMath>
      <w:r>
        <w:rPr>
          <w:b/>
          <w:bCs/>
        </w:rPr>
        <w:t xml:space="preserve">0.80</w:t>
      </w:r>
      <w:r>
        <w:t xml:space="preserve"> </w:t>
      </w:r>
      <w:r>
        <w:t xml:space="preserve">(non-GAAP operating), which would represent modest year-over-year growth versus the year-ago quarter.</w:t>
      </w:r>
    </w:p>
    <w:p>
      <w:pPr>
        <w:pStyle w:val="Compact"/>
        <w:numPr>
          <w:ilvl w:val="0"/>
          <w:numId w:val="1001"/>
        </w:numPr>
      </w:pPr>
      <w:r>
        <w:rPr>
          <w:b/>
          <w:bCs/>
        </w:rPr>
        <w:t xml:space="preserve">Revenue:</w:t>
      </w:r>
      <w:r>
        <w:t xml:space="preserve"> </w:t>
      </w:r>
      <w:r>
        <w:t xml:space="preserve">roughly</w:t>
      </w:r>
      <w:r>
        <w:t xml:space="preserve"> </w:t>
      </w:r>
      <m:oMath>
        <m:r>
          <m:t>2.66</m:t>
        </m:r>
        <m:r>
          <m:rPr>
            <m:sty m:val="p"/>
          </m:rPr>
          <m:t>–</m:t>
        </m:r>
      </m:oMath>
      <w:r>
        <w:rPr>
          <w:b/>
          <w:bCs/>
        </w:rPr>
        <w:t xml:space="preserve">2.70 billion</w:t>
      </w:r>
      <w:r>
        <w:t xml:space="preserve">, actually a</w:t>
      </w:r>
      <w:r>
        <w:t xml:space="preserve"> </w:t>
      </w:r>
      <w:r>
        <w:rPr>
          <w:b/>
          <w:bCs/>
        </w:rPr>
        <w:t xml:space="preserve">decline of ~4%</w:t>
      </w:r>
      <w:r>
        <w:t xml:space="preserve"> </w:t>
      </w:r>
      <w:r>
        <w:t xml:space="preserve">year-over-year, reflecting lower energy/commodity pass-through revenue rather than any weakness in the regulated business.</w:t>
      </w:r>
    </w:p>
    <w:p>
      <w:pPr>
        <w:pStyle w:val="Compact"/>
        <w:numPr>
          <w:ilvl w:val="0"/>
          <w:numId w:val="1001"/>
        </w:numPr>
      </w:pPr>
      <w:r>
        <w:rPr>
          <w:b/>
          <w:bCs/>
        </w:rPr>
        <w:t xml:space="preserve">Full-year 2026 guidance:</w:t>
      </w:r>
      <w:r>
        <w:t xml:space="preserve"> </w:t>
      </w:r>
      <w:r>
        <w:t xml:space="preserve">Management has reiterated</w:t>
      </w:r>
      <w:r>
        <w:t xml:space="preserve"> </w:t>
      </w:r>
      <m:oMath>
        <m:r>
          <m:t>4.28</m:t>
        </m:r>
        <m:r>
          <m:rPr>
            <m:sty m:val="p"/>
          </m:rPr>
          <m:t>–</m:t>
        </m:r>
      </m:oMath>
      <w:r>
        <w:rPr>
          <w:b/>
          <w:bCs/>
        </w:rPr>
        <w:t xml:space="preserve">4.40 non-GAAP operating EPS</w:t>
      </w:r>
      <w:r>
        <w:t xml:space="preserve">, and Street consensus for the full year sits at the upper half of that band, suggesting the market already expects PSEG to land at or above the midpoint.</w:t>
      </w:r>
    </w:p>
    <w:p>
      <w:pPr>
        <w:pStyle w:val="FirstParagraph"/>
      </w:pPr>
      <w:r>
        <w:t xml:space="preserve">Q2 is seasonally PSEG's smallest quarter (heating season is over, peak cooling load hasn't fully hit), so the print itself is unlikely to be a major swing factor — the more important signals will be commentary on the summer cooling season, hedges, and regulatory/PJM developments.</w:t>
      </w:r>
    </w:p>
    <w:bookmarkEnd w:id="10"/>
    <w:bookmarkStart w:id="11" w:name="q1-2026-recap--the-baseline-to-beat"/>
    <w:p>
      <w:pPr>
        <w:pStyle w:val="Heading2"/>
      </w:pPr>
      <w:r>
        <w:t xml:space="preserve">Q1 2026 Recap — The Baseline to Beat</w:t>
      </w:r>
    </w:p>
    <w:p>
      <w:pPr>
        <w:pStyle w:val="FirstParagraph"/>
      </w:pPr>
      <w:r>
        <w:t xml:space="preserve">PSEG's first quarter set a strong tone. The company reported</w:t>
      </w:r>
      <w:r>
        <w:t xml:space="preserve"> </w:t>
      </w:r>
      <w:r>
        <w:rPr>
          <w:b/>
          <w:bCs/>
        </w:rPr>
        <w:t xml:space="preserve">net income of $1.48/share and non-GAAP operating earnings of $1.55/share</w:t>
      </w:r>
      <w:r>
        <w:t xml:space="preserve">, up from $1.43 a year earlier, beating consensus by mid-single digits, with revenue of $3.85 billion topping estimates by nearly 18%. Management attributed the strength to record winter weather (multiple severe storms, the coldest stretch since 2019) driving gas demand, plus</w:t>
      </w:r>
      <w:r>
        <w:t xml:space="preserve"> </w:t>
      </w:r>
      <w:r>
        <w:rPr>
          <w:b/>
          <w:bCs/>
        </w:rPr>
        <w:t xml:space="preserve">higher gas volumes and capacity revenues at PSEG Power that more than offset the loss of the Zero Emission Certificate (ZEC) program</w:t>
      </w:r>
      <w:r>
        <w:t xml:space="preserve">, which expired last May. Both segments grew: PSE&amp;G (the regulated utility) posted $577M of net income (up from $546M), while PSEG Power &amp; Other jumped to $164M from just $43M, largely on the absence of prior-year mark-to-market losses and lower O&amp;M costs.</w:t>
      </w:r>
    </w:p>
    <w:p>
      <w:pPr>
        <w:pStyle w:val="BodyText"/>
      </w:pPr>
      <w:r>
        <w:t xml:space="preserve">Management was explicit on the Q1 call that the outsized beat was partly a winter-weather pull-forward, and that</w:t>
      </w:r>
      <w:r>
        <w:t xml:space="preserve"> </w:t>
      </w:r>
      <w:r>
        <w:rPr>
          <w:b/>
          <w:bCs/>
        </w:rPr>
        <w:t xml:space="preserve">the real test of guidance durability is how summer plays out</w:t>
      </w:r>
      <w:r>
        <w:t xml:space="preserve"> </w:t>
      </w:r>
      <w:r>
        <w:t xml:space="preserve">— a direct signal for what to watch in this Q2 print.</w:t>
      </w:r>
    </w:p>
    <w:bookmarkEnd w:id="11"/>
    <w:bookmarkStart w:id="12" w:name="key-themes-to-watch"/>
    <w:p>
      <w:pPr>
        <w:pStyle w:val="Heading2"/>
      </w:pPr>
      <w:r>
        <w:t xml:space="preserve">Key Themes to Watch</w:t>
      </w:r>
    </w:p>
    <w:p>
      <w:pPr>
        <w:pStyle w:val="FirstParagraph"/>
      </w:pPr>
      <w:r>
        <w:rPr>
          <w:b/>
          <w:bCs/>
        </w:rPr>
        <w:t xml:space="preserve">1. Guidance trajectory and the "raise" debate.</w:t>
      </w:r>
      <w:r>
        <w:t xml:space="preserve"> </w:t>
      </w:r>
      <w:r>
        <w:t xml:space="preserve">PSEG maintained its</w:t>
      </w:r>
      <w:r>
        <w:t xml:space="preserve"> </w:t>
      </w:r>
      <m:oMath>
        <m:r>
          <m:t>4.28</m:t>
        </m:r>
        <m:r>
          <m:rPr>
            <m:sty m:val="p"/>
          </m:rPr>
          <m:t>–</m:t>
        </m:r>
      </m:oMath>
      <w:r>
        <w:t xml:space="preserve">4.40 EPS guidance and reaffirmed a</w:t>
      </w:r>
      <w:r>
        <w:t xml:space="preserve"> </w:t>
      </w:r>
      <w:r>
        <w:rPr>
          <w:b/>
          <w:bCs/>
        </w:rPr>
        <w:t xml:space="preserve">6%–8% non-GAAP operating EPS CAGR through 2030</w:t>
      </w:r>
      <w:r>
        <w:t xml:space="preserve">, underpinned by a</w:t>
      </w:r>
      <w:r>
        <w:t xml:space="preserve"> </w:t>
      </w:r>
      <m:oMath>
        <m:r>
          <m:t>22.5</m:t>
        </m:r>
        <m:r>
          <m:rPr>
            <m:sty m:val="p"/>
          </m:rPr>
          <m:t>–</m:t>
        </m:r>
      </m:oMath>
      <w:r>
        <w:rPr>
          <w:b/>
          <w:bCs/>
        </w:rPr>
        <w:t xml:space="preserve">25.5 billion five-year regulated capital plan at PSE&amp;G</w:t>
      </w:r>
      <w:r>
        <w:t xml:space="preserve"> </w:t>
      </w:r>
      <w:r>
        <w:t xml:space="preserve">(</w:t>
      </w:r>
      <m:oMath>
        <m:r>
          <m:t>24</m:t>
        </m:r>
        <m:r>
          <m:rPr>
            <m:sty m:val="p"/>
          </m:rPr>
          <m:t>–</m:t>
        </m:r>
      </m:oMath>
      <w:r>
        <w:t xml:space="preserve">28 billion at the parent level) — all funded without new equity issuance or asset sales. Investors will watch for any signal that management is ready to narrow guidance toward the top of the range or lean into a raise, especially given the Q1 beat.</w:t>
      </w:r>
    </w:p>
    <w:p>
      <w:pPr>
        <w:pStyle w:val="BodyText"/>
      </w:pPr>
      <w:r>
        <w:rPr>
          <w:b/>
          <w:bCs/>
        </w:rPr>
        <w:t xml:space="preserve">2. PJM capacity markets and the Reliability Backstop Auction (RBA).</w:t>
      </w:r>
      <w:r>
        <w:t xml:space="preserve"> </w:t>
      </w:r>
      <w:r>
        <w:t xml:space="preserve">FERC recently approved an extension of the</w:t>
      </w:r>
      <w:r>
        <w:t xml:space="preserve"> </w:t>
      </w:r>
      <w:r>
        <w:rPr>
          <w:b/>
          <w:bCs/>
        </w:rPr>
        <w:t xml:space="preserve">PJM capacity price collar through the 2029/2030 Base Residual Auction</w:t>
      </w:r>
      <w:r>
        <w:t xml:space="preserve">, which management says should stabilize New Jersey's Basic Generation Service (BGS) pricing even as regional demand grows. Separately, PJM is designing a one-time "reliability backstop" procurement intended to bring new dispatchable generation online by 2031 to meet data-center-driven load growth; PSEG is engaged in the stakeholder process (including a joint cost-allocation filing with other EDCs) but has cautioned it won't chase pure market-risk generation — only "utility-like," rate-based investment. Updates here matter for both the Power segment's economics and PSE&amp;G customer bill trajectory. More broadly, tightening PJM capacity fundamentals amid data-center growth is a well-documented 2026 sector theme, with reports of power companies scrambling to secure equipment as demand strains supply chains.</w:t>
      </w:r>
    </w:p>
    <w:p>
      <w:pPr>
        <w:pStyle w:val="BodyText"/>
      </w:pPr>
      <w:r>
        <w:rPr>
          <w:b/>
          <w:bCs/>
        </w:rPr>
        <w:t xml:space="preserve">3. New Jersey regulatory/affordability backdrop.</w:t>
      </w:r>
      <w:r>
        <w:t xml:space="preserve"> </w:t>
      </w:r>
      <w:r>
        <w:t xml:space="preserve">PSEG kept electric rates flat in 2026 in coordination with Governor Sherrill's executive orders on utility costs, and the June 1 BGS auction reset lowered residential electric supply costs by 1.8%. A FERC ruling on PJM transmission cost allocation could deliver</w:t>
      </w:r>
      <w:r>
        <w:t xml:space="preserve"> </w:t>
      </w:r>
      <w:r>
        <w:rPr>
          <w:b/>
          <w:bCs/>
        </w:rPr>
        <w:t xml:space="preserve">over $100 million in refunds</w:t>
      </w:r>
      <w:r>
        <w:t xml:space="preserve"> </w:t>
      </w:r>
      <w:r>
        <w:t xml:space="preserve">to PSE&amp;G customers (still being litigated). The BPU's stakeholder review of the utility business model (per Executive Order 1) is ongoing, with a consultant study expected this summer — any early readouts here are a watch item for regulatory-construct risk/opportunity.</w:t>
      </w:r>
    </w:p>
    <w:p>
      <w:pPr>
        <w:pStyle w:val="BodyText"/>
      </w:pPr>
      <w:r>
        <w:rPr>
          <w:b/>
          <w:bCs/>
        </w:rPr>
        <w:t xml:space="preserve">4. Nuclear — both current performance and long-term optionality.</w:t>
      </w:r>
      <w:r>
        <w:t xml:space="preserve"> </w:t>
      </w:r>
      <w:r>
        <w:t xml:space="preserve">PSEG Nuclear posted a strong quarter, including</w:t>
      </w:r>
      <w:r>
        <w:t xml:space="preserve"> </w:t>
      </w:r>
      <w:r>
        <w:rPr>
          <w:b/>
          <w:bCs/>
        </w:rPr>
        <w:t xml:space="preserve">Salem Unit 2's second consecutive breaker-to-breaker run</w:t>
      </w:r>
      <w:r>
        <w:t xml:space="preserve"> </w:t>
      </w:r>
      <w:r>
        <w:t xml:space="preserve">and a</w:t>
      </w:r>
      <w:r>
        <w:t xml:space="preserve"> </w:t>
      </w:r>
      <w:r>
        <w:rPr>
          <w:b/>
          <w:bCs/>
        </w:rPr>
        <w:t xml:space="preserve">95.5% capacity factor</w:t>
      </w:r>
      <w:r>
        <w:t xml:space="preserve">, supplying 8 TWh of carbon-free baseload power in Q1. Longer-term, New Jersey's legislature lifted its decades-long moratorium on new nuclear construction, and PSEG is positioning its Salem site as a candidate for new nuclear build-out, contingent on federal support, offtake agreements, and permitting streamlining. Separately, the company is pursuing 20-year subsequent license renewals for Salem 1&amp;2 and Hope Creek (applications expected 2027) and has flagged a potential capacity uprate (~200 MW at Salem) tied to the 2027 or 2029 refueling outages — incremental upside not yet baked into the 6–8% CAGR.</w:t>
      </w:r>
    </w:p>
    <w:p>
      <w:pPr>
        <w:pStyle w:val="BodyText"/>
      </w:pPr>
      <w:r>
        <w:rPr>
          <w:b/>
          <w:bCs/>
        </w:rPr>
        <w:t xml:space="preserve">5. Data center/large-load demand — real but tempered in NJ specifically.</w:t>
      </w:r>
      <w:r>
        <w:t xml:space="preserve"> </w:t>
      </w:r>
      <w:r>
        <w:t xml:space="preserve">As of Q1, PSEG's large-load interest queue stood around</w:t>
      </w:r>
      <w:r>
        <w:t xml:space="preserve"> </w:t>
      </w:r>
      <w:r>
        <w:rPr>
          <w:b/>
          <w:bCs/>
        </w:rPr>
        <w:t xml:space="preserve">11.8 GW</w:t>
      </w:r>
      <w:r>
        <w:t xml:space="preserve">, but management said interest has "leveled off" and that, absent New Jersey-specific tax incentives, hyperscalers have largely favored other states; PSEG continues to pursue serving incremental load either in NJ or via its Peach Bottom units in Pennsylvania, and flagged optionality for virtual off-take arrangements beyond its home zone. Investors should listen for any update to this figure and conversion rate assumptions.</w:t>
      </w:r>
    </w:p>
    <w:p>
      <w:pPr>
        <w:pStyle w:val="BodyText"/>
      </w:pPr>
      <w:r>
        <w:rPr>
          <w:b/>
          <w:bCs/>
        </w:rPr>
        <w:t xml:space="preserve">6. Balance sheet and dividend.</w:t>
      </w:r>
      <w:r>
        <w:t xml:space="preserve"> </w:t>
      </w:r>
      <w:r>
        <w:t xml:space="preserve">PSEG entered Q2 with</w:t>
      </w:r>
      <w:r>
        <w:t xml:space="preserve"> </w:t>
      </w:r>
      <w:r>
        <w:rPr>
          <w:b/>
          <w:bCs/>
        </w:rPr>
        <w:t xml:space="preserve">$3.9 billion of liquidity</w:t>
      </w:r>
      <w:r>
        <w:t xml:space="preserve">, extended revolvers out to 2031, and issued $1 billion of secured notes in January. The board set a</w:t>
      </w:r>
      <w:r>
        <w:t xml:space="preserve"> </w:t>
      </w:r>
      <w:r>
        <w:rPr>
          <w:b/>
          <w:bCs/>
        </w:rPr>
        <w:t xml:space="preserve">2026 indicative annual dividend of $2.68/share, a ~6% increase and the 15th consecutive annual raise</w:t>
      </w:r>
      <w:r>
        <w:t xml:space="preserve"> </w:t>
      </w:r>
      <w:r>
        <w:t xml:space="preserve">— a data point on capital-allocation discipline investors will want reaffirmed.</w:t>
      </w:r>
    </w:p>
    <w:bookmarkEnd w:id="12"/>
    <w:bookmarkStart w:id="13" w:name="bottom-line"/>
    <w:p>
      <w:pPr>
        <w:pStyle w:val="Heading2"/>
      </w:pPr>
      <w:r>
        <w:t xml:space="preserve">Bottom Line</w:t>
      </w:r>
    </w:p>
    <w:p>
      <w:pPr>
        <w:pStyle w:val="FirstParagraph"/>
      </w:pPr>
      <w:r>
        <w:t xml:space="preserve">Q2 itself is a modest, seasonally light quarter, so the headline EPS beat/miss matters less than</w:t>
      </w:r>
      <w:r>
        <w:t xml:space="preserve"> </w:t>
      </w:r>
      <w:r>
        <w:rPr>
          <w:b/>
          <w:bCs/>
        </w:rPr>
        <w:t xml:space="preserve">management's tone on summer demand, PJM/RBA developments, New Jersey regulatory dynamics, and any incremental commentary on guidance confidence</w:t>
      </w:r>
      <w:r>
        <w:t xml:space="preserve">. Given the strong Q1 beat and reaffirmed long-term 6–8% growth algorithm, the bar is for continued execution rather than a blowout number — with nuclear upside, transmission wins, and new-generation opportunities (nuclear, RBA, data-center load) as the optionality levers that could move the multiple beyond the current guided growth path.</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2026-08-04T01:13:53Z</dcterms:created>
  <dcterms:modified xsi:type="dcterms:W3CDTF">2026-08-04T01:13:53Z</dcterms:modified>
</cp:coreProperties>
</file>

<file path=docProps/custom.xml><?xml version="1.0" encoding="utf-8"?>
<Properties xmlns="http://schemas.openxmlformats.org/officeDocument/2006/custom-properties" xmlns:vt="http://schemas.openxmlformats.org/officeDocument/2006/docPropsVTypes"/>
</file>