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peg-q2-2026-earnings-preview"/>
    <w:p>
      <w:pPr>
        <w:pStyle w:val="Heading1"/>
      </w:pPr>
      <w:r>
        <w:t xml:space="preserve">PEG Q2 2026 Earnings Preview</w:t>
      </w:r>
    </w:p>
    <w:p>
      <w:pPr>
        <w:pStyle w:val="BlockText"/>
      </w:pPr>
      <w:r>
        <w:rPr>
          <w:b/>
          <w:bCs/>
        </w:rPr>
        <w:t xml:space="preserve">Timing note:</w:t>
      </w:r>
      <w:r>
        <w:t xml:space="preserve"> </w:t>
      </w:r>
      <w:r>
        <w:t xml:space="preserve">PSEG’s Q2 earnings call is scheduled for</w:t>
      </w:r>
      <w:r>
        <w:t xml:space="preserve"> </w:t>
      </w:r>
      <w:r>
        <w:rPr>
          <w:b/>
          <w:bCs/>
        </w:rPr>
        <w:t xml:space="preserve">today, Tuesday, August 4, 2026, at 11:00 a.m. ET—not tomorrow</w:t>
      </w:r>
      <w:r>
        <w:t xml:space="preserve">. The company expects to discuss results, guidance, capital investment and regulatory developments. (</w:t>
      </w:r>
      <w:hyperlink r:id="rId9">
        <w:r>
          <w:rPr>
            <w:rStyle w:val="Hyperlink"/>
          </w:rPr>
          <w:t xml:space="preserve">investor.pseg.com</w:t>
        </w:r>
      </w:hyperlink>
      <w:r>
        <w:t xml:space="preserve">)</w:t>
      </w:r>
    </w:p>
    <w:bookmarkStart w:id="10" w:name="executive-view"/>
    <w:p>
      <w:pPr>
        <w:pStyle w:val="Heading2"/>
      </w:pPr>
      <w:r>
        <w:t xml:space="preserve">Executive view</w:t>
      </w:r>
    </w:p>
    <w:p>
      <w:pPr>
        <w:pStyle w:val="FirstParagraph"/>
      </w:pPr>
      <w:r>
        <w:t xml:space="preserve">The reported quarter matters, but</w:t>
      </w:r>
      <w:r>
        <w:t xml:space="preserve"> </w:t>
      </w:r>
      <w:r>
        <w:rPr>
          <w:b/>
          <w:bCs/>
        </w:rPr>
        <w:t xml:space="preserve">the larger share-price drivers should be guidance and New Jersey regulation</w:t>
      </w:r>
      <w:r>
        <w:t xml:space="preserve">.</w:t>
      </w:r>
    </w:p>
    <w:p>
      <w:pPr>
        <w:pStyle w:val="BodyText"/>
      </w:pPr>
      <w:r>
        <w:t xml:space="preserve">PSEG entered Q2 with strong first-quarter earnings, reiterated its outlook again in July, and has most 2026 nuclear production hedged. That makes a major earnings surprise less likely than a change in investors’ perception of:</w:t>
      </w:r>
    </w:p>
    <w:p>
      <w:pPr>
        <w:pStyle w:val="Compact"/>
        <w:numPr>
          <w:ilvl w:val="0"/>
          <w:numId w:val="1001"/>
        </w:numPr>
      </w:pPr>
      <w:r>
        <w:t xml:space="preserve">The durability of PSE&amp;G’s capital and rate-base growth;</w:t>
      </w:r>
    </w:p>
    <w:p>
      <w:pPr>
        <w:pStyle w:val="Compact"/>
        <w:numPr>
          <w:ilvl w:val="0"/>
          <w:numId w:val="1001"/>
        </w:numPr>
      </w:pPr>
      <w:r>
        <w:t xml:space="preserve">The financial effect of New Jersey’s newly enacted transmission and utility-affordability policies;</w:t>
      </w:r>
    </w:p>
    <w:p>
      <w:pPr>
        <w:pStyle w:val="Compact"/>
        <w:numPr>
          <w:ilvl w:val="0"/>
          <w:numId w:val="1001"/>
        </w:numPr>
      </w:pPr>
      <w:r>
        <w:t xml:space="preserve">The pace of nuclear uprates, license extensions and potential long-term power contracts.</w:t>
      </w:r>
    </w:p>
    <w:p>
      <w:pPr>
        <w:pStyle w:val="FirstParagraph"/>
      </w:pPr>
      <w:r>
        <w:t xml:space="preserve">A result near consensus with unchanged guidance would be acceptable. A more clearly positive report likely requires</w:t>
      </w:r>
      <w:r>
        <w:t xml:space="preserve"> </w:t>
      </w:r>
      <w:r>
        <w:rPr>
          <w:b/>
          <w:bCs/>
        </w:rPr>
        <w:t xml:space="preserve">upper-half guidance commentary, reassurance on the regulatory outlook, or tangible nuclear contracting progress</w:t>
      </w:r>
      <w:r>
        <w:t xml:space="preserve">.</w:t>
      </w:r>
    </w:p>
    <w:bookmarkEnd w:id="10"/>
    <w:bookmarkStart w:id="13" w:name="key-numbers"/>
    <w:p>
      <w:pPr>
        <w:pStyle w:val="Heading2"/>
      </w:pPr>
      <w:r>
        <w:t xml:space="preserve">Key numbers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Expectation / latest figure</w:t>
            </w:r>
          </w:p>
        </w:tc>
      </w:tr>
      <w:tr>
        <w:tc>
          <w:tcPr/>
          <w:p>
            <w:pPr>
              <w:pStyle w:val="Compact"/>
            </w:pPr>
            <w:r>
              <w:t xml:space="preserve">Q2 adjusted EPS consensus</w:t>
            </w:r>
          </w:p>
        </w:tc>
        <w:tc>
          <w:tcPr/>
          <w:p>
            <w:pPr>
              <w:pStyle w:val="Compact"/>
              <w:jc w:val="right"/>
            </w:pPr>
            <w:r>
              <w:t xml:space="preserve">Approximately</w:t>
            </w:r>
            <w:r>
              <w:t xml:space="preserve"> </w:t>
            </w:r>
            <w:r>
              <w:rPr>
                <w:b/>
                <w:bCs/>
              </w:rPr>
              <w:t xml:space="preserve">$0.79</w:t>
            </w:r>
          </w:p>
        </w:tc>
      </w:tr>
      <w:tr>
        <w:tc>
          <w:tcPr/>
          <w:p>
            <w:pPr>
              <w:pStyle w:val="Compact"/>
            </w:pPr>
            <w:r>
              <w:t xml:space="preserve">Q2 2025 adjusted EPS</w:t>
            </w:r>
          </w:p>
        </w:tc>
        <w:tc>
          <w:tcPr/>
          <w:p>
            <w:pPr>
              <w:pStyle w:val="Compact"/>
              <w:jc w:val="right"/>
            </w:pPr>
            <w:r>
              <w:rPr>
                <w:b/>
                <w:bCs/>
              </w:rPr>
              <w:t xml:space="preserve">$0.77</w:t>
            </w:r>
          </w:p>
        </w:tc>
      </w:tr>
      <w:tr>
        <w:tc>
          <w:tcPr/>
          <w:p>
            <w:pPr>
              <w:pStyle w:val="Compact"/>
            </w:pPr>
            <w:r>
              <w:t xml:space="preserve">Q1 2026 adjusted EPS</w:t>
            </w:r>
          </w:p>
        </w:tc>
        <w:tc>
          <w:tcPr/>
          <w:p>
            <w:pPr>
              <w:pStyle w:val="Compact"/>
              <w:jc w:val="right"/>
            </w:pPr>
            <w:r>
              <w:rPr>
                <w:b/>
                <w:bCs/>
              </w:rPr>
              <w:t xml:space="preserve">$1.55</w:t>
            </w:r>
          </w:p>
        </w:tc>
      </w:tr>
      <w:tr>
        <w:tc>
          <w:tcPr/>
          <w:p>
            <w:pPr>
              <w:pStyle w:val="Compact"/>
            </w:pPr>
            <w:r>
              <w:t xml:space="preserve">FY2026 adjusted EPS guidance</w:t>
            </w:r>
          </w:p>
        </w:tc>
        <w:tc>
          <w:tcPr/>
          <w:p>
            <w:pPr>
              <w:pStyle w:val="Compact"/>
              <w:jc w:val="right"/>
            </w:pPr>
            <m:oMath>
              <m:r>
                <m:t>4.28</m:t>
              </m:r>
              <m:r>
                <m:rPr>
                  <m:sty m:val="p"/>
                </m:rPr>
                <m:t>–</m:t>
              </m:r>
            </m:oMath>
            <w:r>
              <w:rPr>
                <w:b/>
                <w:bCs/>
              </w:rPr>
              <w:t xml:space="preserve">4.40</w:t>
            </w:r>
          </w:p>
        </w:tc>
      </w:tr>
      <w:tr>
        <w:tc>
          <w:tcPr/>
          <w:p>
            <w:pPr>
              <w:pStyle w:val="Compact"/>
            </w:pPr>
            <w:r>
              <w:t xml:space="preserve">Guidance midpoint</w:t>
            </w:r>
          </w:p>
        </w:tc>
        <w:tc>
          <w:tcPr/>
          <w:p>
            <w:pPr>
              <w:pStyle w:val="Compact"/>
              <w:jc w:val="right"/>
            </w:pPr>
            <w:r>
              <w:rPr>
                <w:b/>
                <w:bCs/>
              </w:rPr>
              <w:t xml:space="preserve">$4.34</w:t>
            </w:r>
          </w:p>
        </w:tc>
      </w:tr>
      <w:tr>
        <w:tc>
          <w:tcPr/>
          <w:p>
            <w:pPr>
              <w:pStyle w:val="Compact"/>
            </w:pPr>
            <w:r>
              <w:t xml:space="preserve">Long-term adjusted EPS growth target</w:t>
            </w:r>
          </w:p>
        </w:tc>
        <w:tc>
          <w:tcPr/>
          <w:p>
            <w:pPr>
              <w:pStyle w:val="Compact"/>
              <w:jc w:val="right"/>
            </w:pPr>
            <w:r>
              <w:rPr>
                <w:b/>
                <w:bCs/>
              </w:rPr>
              <w:t xml:space="preserve">6%–8% through 2030</w:t>
            </w:r>
          </w:p>
        </w:tc>
      </w:tr>
      <w:tr>
        <w:tc>
          <w:tcPr/>
          <w:p>
            <w:pPr>
              <w:pStyle w:val="Compact"/>
            </w:pPr>
            <w:r>
              <w:t xml:space="preserve">2026–2030 regulated capital plan</w:t>
            </w:r>
          </w:p>
        </w:tc>
        <w:tc>
          <w:tcPr/>
          <w:p>
            <w:pPr>
              <w:pStyle w:val="Compact"/>
              <w:jc w:val="right"/>
            </w:pPr>
            <m:oMath>
              <m:r>
                <m:t>22.5</m:t>
              </m:r>
              <m:r>
                <m:t>B</m:t>
              </m:r>
              <m:r>
                <m:rPr>
                  <m:sty m:val="p"/>
                </m:rPr>
                <m:t>–</m:t>
              </m:r>
            </m:oMath>
            <w:r>
              <w:rPr>
                <w:b/>
                <w:bCs/>
              </w:rPr>
              <w:t xml:space="preserve">25.5B</w:t>
            </w:r>
          </w:p>
        </w:tc>
      </w:tr>
      <w:tr>
        <w:tc>
          <w:tcPr/>
          <w:p>
            <w:pPr>
              <w:pStyle w:val="Compact"/>
            </w:pPr>
            <w:r>
              <w:t xml:space="preserve">2026–2030 total capital plan</w:t>
            </w:r>
          </w:p>
        </w:tc>
        <w:tc>
          <w:tcPr/>
          <w:p>
            <w:pPr>
              <w:pStyle w:val="Compact"/>
              <w:jc w:val="right"/>
            </w:pPr>
            <m:oMath>
              <m:r>
                <m:t>24</m:t>
              </m:r>
              <m:r>
                <m:t>B</m:t>
              </m:r>
              <m:r>
                <m:rPr>
                  <m:sty m:val="p"/>
                </m:rPr>
                <m:t>–</m:t>
              </m:r>
            </m:oMath>
            <w:r>
              <w:rPr>
                <w:b/>
                <w:bCs/>
              </w:rPr>
              <w:t xml:space="preserve">28B</w:t>
            </w:r>
          </w:p>
        </w:tc>
      </w:tr>
    </w:tbl>
    <w:p>
      <w:pPr>
        <w:pStyle w:val="BodyText"/>
      </w:pPr>
      <w:r>
        <w:t xml:space="preserve">Third-party earnings calendars put consensus near $0.79, roughly 3% above last year’s $0.77. Estimates can vary by provider, and revenue is less informative for a utility because commodity and other pass-through items can create substantial volatility. (</w:t>
      </w:r>
      <w:hyperlink r:id="rId11">
        <w:r>
          <w:rPr>
            <w:rStyle w:val="Hyperlink"/>
          </w:rPr>
          <w:t xml:space="preserve">tipranks.com</w:t>
        </w:r>
      </w:hyperlink>
      <w:r>
        <w:t xml:space="preserve">)</w:t>
      </w:r>
    </w:p>
    <w:p>
      <w:pPr>
        <w:pStyle w:val="BodyText"/>
      </w:pPr>
      <w:r>
        <w:t xml:space="preserve">PSEG earned $1.55 in Q1 and maintained its</w:t>
      </w:r>
      <w:r>
        <w:t xml:space="preserve"> </w:t>
      </w:r>
      <m:oMath>
        <m:r>
          <m:t>4.28</m:t>
        </m:r>
        <m:r>
          <m:rPr>
            <m:sty m:val="p"/>
          </m:rPr>
          <m:t>–</m:t>
        </m:r>
      </m:oMath>
      <w:r>
        <w:t xml:space="preserve">4.40 full-year range. Its July investor update again showed that guidance unchanged, alongside the 6%–8% long-term growth target and a capital plan funded without planned equity issuance or asset sales. (</w:t>
      </w:r>
      <w:hyperlink r:id="rId12">
        <w:r>
          <w:rPr>
            <w:rStyle w:val="Hyperlink"/>
          </w:rPr>
          <w:t xml:space="preserve">investor.pseg.com</w:t>
        </w:r>
      </w:hyperlink>
      <w:r>
        <w:t xml:space="preserve">)</w:t>
      </w:r>
    </w:p>
    <w:p>
      <w:pPr>
        <w:pStyle w:val="BodyText"/>
      </w:pPr>
      <w:r>
        <w:t xml:space="preserve">At the</w:t>
      </w:r>
      <w:r>
        <w:t xml:space="preserve"> </w:t>
      </w:r>
      <m:oMath>
        <m:r>
          <m:t>0.79</m:t>
        </m:r>
        <m:r>
          <m:t>c</m:t>
        </m:r>
        <m:r>
          <m:t>o</m:t>
        </m:r>
        <m:r>
          <m:t>n</m:t>
        </m:r>
        <m:r>
          <m:t>s</m:t>
        </m:r>
        <m:r>
          <m:t>e</m:t>
        </m:r>
        <m:r>
          <m:t>n</m:t>
        </m:r>
        <m:r>
          <m:t>s</m:t>
        </m:r>
        <m:r>
          <m:t>u</m:t>
        </m:r>
        <m:r>
          <m:t>s</m:t>
        </m:r>
        <m:r>
          <m:rPr>
            <m:sty m:val="p"/>
          </m:rPr>
          <m:t>,</m:t>
        </m:r>
        <m:r>
          <m:t>f</m:t>
        </m:r>
        <m:r>
          <m:t>i</m:t>
        </m:r>
        <m:r>
          <m:t>r</m:t>
        </m:r>
        <m:r>
          <m:t>s</m:t>
        </m:r>
        <m:r>
          <m:t>t</m:t>
        </m:r>
        <m:r>
          <m:rPr>
            <m:sty m:val="p"/>
          </m:rPr>
          <m:t>−</m:t>
        </m:r>
        <m:r>
          <m:t>h</m:t>
        </m:r>
        <m:r>
          <m:t>a</m:t>
        </m:r>
        <m:r>
          <m:t>l</m:t>
        </m:r>
        <m:r>
          <m:t>f</m:t>
        </m:r>
        <m:r>
          <m:t>a</m:t>
        </m:r>
        <m:r>
          <m:t>d</m:t>
        </m:r>
        <m:r>
          <m:t>j</m:t>
        </m:r>
        <m:r>
          <m:t>u</m:t>
        </m:r>
        <m:r>
          <m:t>s</m:t>
        </m:r>
        <m:r>
          <m:t>t</m:t>
        </m:r>
        <m:r>
          <m:t>e</m:t>
        </m:r>
        <m:r>
          <m:t>d</m:t>
        </m:r>
        <m:r>
          <m:t>E</m:t>
        </m:r>
        <m:r>
          <m:t>P</m:t>
        </m:r>
        <m:r>
          <m:t>S</m:t>
        </m:r>
        <m:r>
          <m:t>w</m:t>
        </m:r>
        <m:r>
          <m:t>o</m:t>
        </m:r>
        <m:r>
          <m:t>u</m:t>
        </m:r>
        <m:r>
          <m:t>l</m:t>
        </m:r>
        <m:r>
          <m:t>d</m:t>
        </m:r>
        <m:r>
          <m:t>t</m:t>
        </m:r>
        <m:r>
          <m:t>o</m:t>
        </m:r>
        <m:r>
          <m:t>t</m:t>
        </m:r>
        <m:r>
          <m:t>a</m:t>
        </m:r>
        <m:r>
          <m:t>l</m:t>
        </m:r>
        <m:r>
          <m:t>a</m:t>
        </m:r>
        <m:r>
          <m:t>p</m:t>
        </m:r>
        <m:r>
          <m:t>p</m:t>
        </m:r>
        <m:r>
          <m:t>r</m:t>
        </m:r>
        <m:r>
          <m:t>o</m:t>
        </m:r>
        <m:r>
          <m:t>x</m:t>
        </m:r>
        <m:r>
          <m:t>i</m:t>
        </m:r>
        <m:r>
          <m:t>m</m:t>
        </m:r>
        <m:r>
          <m:t>a</m:t>
        </m:r>
        <m:r>
          <m:t>t</m:t>
        </m:r>
        <m:r>
          <m:t>e</m:t>
        </m:r>
        <m:r>
          <m:t>l</m:t>
        </m:r>
        <m:r>
          <m:t>y</m:t>
        </m:r>
        <m:r>
          <m:rPr>
            <m:sty m:val="p"/>
          </m:rPr>
          <m:t>*</m:t>
        </m:r>
        <m:r>
          <m:rPr>
            <m:sty m:val="p"/>
          </m:rPr>
          <m:t>*</m:t>
        </m:r>
      </m:oMath>
      <w:r>
        <w:t xml:space="preserve">2.34**, leaving about</w:t>
      </w:r>
      <w:r>
        <w:t xml:space="preserve"> </w:t>
      </w:r>
      <w:r>
        <w:rPr>
          <w:b/>
          <w:bCs/>
        </w:rPr>
        <w:t xml:space="preserve">$2.00</w:t>
      </w:r>
      <w:r>
        <w:t xml:space="preserve"> </w:t>
      </w:r>
      <w:r>
        <w:t xml:space="preserve">to reach the full-year midpoint. That looks manageable given PSEG’s seasonality, but Q1’s strong result also raises the bar for management’s guidance commentary.</w:t>
      </w:r>
    </w:p>
    <w:bookmarkEnd w:id="13"/>
    <w:bookmarkStart w:id="20" w:name="what-should-drive-q2-results"/>
    <w:p>
      <w:pPr>
        <w:pStyle w:val="Heading2"/>
      </w:pPr>
      <w:r>
        <w:t xml:space="preserve">What should drive Q2 results?</w:t>
      </w:r>
    </w:p>
    <w:bookmarkStart w:id="16" w:name="X4d4ed3a5d83b81cecc95a9f22d5448975c6a3ea"/>
    <w:p>
      <w:pPr>
        <w:pStyle w:val="Heading3"/>
      </w:pPr>
      <w:r>
        <w:t xml:space="preserve">1. PSE&amp;G should remain the earnings anchor</w:t>
      </w:r>
    </w:p>
    <w:p>
      <w:pPr>
        <w:pStyle w:val="FirstParagraph"/>
      </w:pPr>
      <w:r>
        <w:t xml:space="preserve">The regulated utility should benefit from continued investment in transmission, distribution, gas modernization and energy efficiency. Year-end 2025 rate base was approximately $36 billion, up about 7%, while PSEG continues to target 6%–7.5% annual rate-base growth through 2030. (</w:t>
      </w:r>
      <w:hyperlink r:id="rId14">
        <w:r>
          <w:rPr>
            <w:rStyle w:val="Hyperlink"/>
          </w:rPr>
          <w:t xml:space="preserve">s24.q4cdn.com</w:t>
        </w:r>
      </w:hyperlink>
      <w:r>
        <w:t xml:space="preserve">)</w:t>
      </w:r>
    </w:p>
    <w:p>
      <w:pPr>
        <w:pStyle w:val="BodyText"/>
      </w:pPr>
      <w:r>
        <w:t xml:space="preserve">Specific incremental supports include:</w:t>
      </w:r>
    </w:p>
    <w:p>
      <w:pPr>
        <w:pStyle w:val="Compact"/>
        <w:numPr>
          <w:ilvl w:val="0"/>
          <w:numId w:val="1002"/>
        </w:numPr>
      </w:pPr>
      <w:r>
        <w:t xml:space="preserve">Approximately</w:t>
      </w:r>
      <w:r>
        <w:t xml:space="preserve"> </w:t>
      </w:r>
      <w:r>
        <w:rPr>
          <w:b/>
          <w:bCs/>
        </w:rPr>
        <w:t xml:space="preserve">$82 million of additional annual transmission revenue</w:t>
      </w:r>
      <w:r>
        <w:t xml:space="preserve"> </w:t>
      </w:r>
      <w:r>
        <w:t xml:space="preserve">effective January 1, subject to true-up;</w:t>
      </w:r>
    </w:p>
    <w:p>
      <w:pPr>
        <w:pStyle w:val="Compact"/>
        <w:numPr>
          <w:ilvl w:val="0"/>
          <w:numId w:val="1002"/>
        </w:numPr>
      </w:pPr>
      <w:r>
        <w:t xml:space="preserve">Approximately</w:t>
      </w:r>
      <w:r>
        <w:t xml:space="preserve"> </w:t>
      </w:r>
      <w:r>
        <w:rPr>
          <w:b/>
          <w:bCs/>
        </w:rPr>
        <w:t xml:space="preserve">$23 million of additional annual GSMP II Extension revenue</w:t>
      </w:r>
      <w:r>
        <w:t xml:space="preserve"> </w:t>
      </w:r>
      <w:r>
        <w:t xml:space="preserve">effective April 1;</w:t>
      </w:r>
    </w:p>
    <w:p>
      <w:pPr>
        <w:pStyle w:val="Compact"/>
        <w:numPr>
          <w:ilvl w:val="0"/>
          <w:numId w:val="1002"/>
        </w:numPr>
      </w:pPr>
      <w:r>
        <w:t xml:space="preserve">Gradual electric and gas customer growth;</w:t>
      </w:r>
    </w:p>
    <w:p>
      <w:pPr>
        <w:pStyle w:val="Compact"/>
        <w:numPr>
          <w:ilvl w:val="0"/>
          <w:numId w:val="1002"/>
        </w:numPr>
      </w:pPr>
      <w:r>
        <w:t xml:space="preserve">Continued capital deployment toward the approximately</w:t>
      </w:r>
      <w:r>
        <w:t xml:space="preserve"> </w:t>
      </w:r>
      <w:r>
        <w:rPr>
          <w:b/>
          <w:bCs/>
        </w:rPr>
        <w:t xml:space="preserve">$4.2 billion 2026 regulated investment plan</w:t>
      </w:r>
      <w:r>
        <w:t xml:space="preserve">. (</w:t>
      </w:r>
      <w:hyperlink r:id="rId15">
        <w:r>
          <w:rPr>
            <w:rStyle w:val="Hyperlink"/>
          </w:rPr>
          <w:t xml:space="preserve">s24.q4cdn.com</w:t>
        </w:r>
      </w:hyperlink>
      <w:r>
        <w:t xml:space="preserve">)</w:t>
      </w:r>
    </w:p>
    <w:p>
      <w:pPr>
        <w:pStyle w:val="FirstParagraph"/>
      </w:pPr>
      <w:r>
        <w:t xml:space="preserve">Offsets will include higher depreciation, interest expense and underlying O&amp;M. Investors should focus on whether those costs remain consistent with the company’s roughly 1% long-term O&amp;M growth record and whether Q2 regulated earnings translated rate-base growth efficiently into EPS. (</w:t>
      </w:r>
      <w:hyperlink r:id="rId14">
        <w:r>
          <w:rPr>
            <w:rStyle w:val="Hyperlink"/>
          </w:rPr>
          <w:t xml:space="preserve">s24.q4cdn.com</w:t>
        </w:r>
      </w:hyperlink>
      <w:r>
        <w:t xml:space="preserve">)</w:t>
      </w:r>
    </w:p>
    <w:bookmarkEnd w:id="16"/>
    <w:bookmarkStart w:id="17" w:name="Xc1b65761ddb8d9c3e6f70c20c7c56373cfce040"/>
    <w:p>
      <w:pPr>
        <w:pStyle w:val="Heading3"/>
      </w:pPr>
      <w:r>
        <w:t xml:space="preserve">2. Nuclear output will contain outage-related noise</w:t>
      </w:r>
    </w:p>
    <w:p>
      <w:pPr>
        <w:pStyle w:val="FirstParagraph"/>
      </w:pPr>
      <w:r>
        <w:t xml:space="preserve">Salem Unit 2 entered a scheduled refueling outage in April after a 495-day breaker-to-breaker run. That should make year-over-year nuclear generation less favorable than in Q2 2025, when the fleet generated approximately 7.5 TWh and had no comparable Salem Unit 2 outage. (</w:t>
      </w:r>
      <w:hyperlink r:id="rId15">
        <w:r>
          <w:rPr>
            <w:rStyle w:val="Hyperlink"/>
          </w:rPr>
          <w:t xml:space="preserve">s24.q4cdn.com</w:t>
        </w:r>
      </w:hyperlink>
      <w:r>
        <w:t xml:space="preserve">)</w:t>
      </w:r>
    </w:p>
    <w:p>
      <w:pPr>
        <w:pStyle w:val="BodyText"/>
      </w:pPr>
      <w:r>
        <w:t xml:space="preserve">The relevant questions are:</w:t>
      </w:r>
    </w:p>
    <w:p>
      <w:pPr>
        <w:pStyle w:val="Compact"/>
        <w:numPr>
          <w:ilvl w:val="0"/>
          <w:numId w:val="1003"/>
        </w:numPr>
      </w:pPr>
      <w:r>
        <w:t xml:space="preserve">Was the outage completed on schedule and budget?</w:t>
      </w:r>
    </w:p>
    <w:p>
      <w:pPr>
        <w:pStyle w:val="Compact"/>
        <w:numPr>
          <w:ilvl w:val="0"/>
          <w:numId w:val="1003"/>
        </w:numPr>
      </w:pPr>
      <w:r>
        <w:t xml:space="preserve">Is the full-year nuclear generation forecast still</w:t>
      </w:r>
      <w:r>
        <w:t xml:space="preserve"> </w:t>
      </w:r>
      <w:r>
        <w:rPr>
          <w:b/>
          <w:bCs/>
        </w:rPr>
        <w:t xml:space="preserve">30–32 TWh</w:t>
      </w:r>
      <w:r>
        <w:t xml:space="preserve">?</w:t>
      </w:r>
    </w:p>
    <w:p>
      <w:pPr>
        <w:pStyle w:val="Compact"/>
        <w:numPr>
          <w:ilvl w:val="0"/>
          <w:numId w:val="1003"/>
        </w:numPr>
      </w:pPr>
      <w:r>
        <w:t xml:space="preserve">Were there any operational issues at the other units?</w:t>
      </w:r>
    </w:p>
    <w:p>
      <w:pPr>
        <w:pStyle w:val="Compact"/>
        <w:numPr>
          <w:ilvl w:val="0"/>
          <w:numId w:val="1003"/>
        </w:numPr>
      </w:pPr>
      <w:r>
        <w:t xml:space="preserve">Did outage costs or replacement-power effects exceed plan?</w:t>
      </w:r>
    </w:p>
    <w:p>
      <w:pPr>
        <w:pStyle w:val="FirstParagraph"/>
      </w:pPr>
      <w:r>
        <w:t xml:space="preserve">PSEG had hedged approximately</w:t>
      </w:r>
      <w:r>
        <w:t xml:space="preserve"> </w:t>
      </w:r>
      <w:r>
        <w:rPr>
          <w:b/>
          <w:bCs/>
        </w:rPr>
        <w:t xml:space="preserve">95% of expected 2026 nuclear output</w:t>
      </w:r>
      <w:r>
        <w:t xml:space="preserve">, limiting near-term exposure to power-price volatility. Its cleared capacity price also stepped up from roughly $270/MW-day to $329/MW-day for the delivery year beginning June 2026, although only one month of that increase falls in Q2. (</w:t>
      </w:r>
      <w:hyperlink r:id="rId14">
        <w:r>
          <w:rPr>
            <w:rStyle w:val="Hyperlink"/>
          </w:rPr>
          <w:t xml:space="preserve">s24.q4cdn.com</w:t>
        </w:r>
      </w:hyperlink>
      <w:r>
        <w:t xml:space="preserve">)</w:t>
      </w:r>
    </w:p>
    <w:bookmarkEnd w:id="17"/>
    <w:bookmarkStart w:id="19" w:name="Xfb8a319105c1eff13a79d9d5d235c2a1a5dfd62"/>
    <w:p>
      <w:pPr>
        <w:pStyle w:val="Heading3"/>
      </w:pPr>
      <w:r>
        <w:t xml:space="preserve">3. The absence of zero-emission certificates is already in the base</w:t>
      </w:r>
    </w:p>
    <w:p>
      <w:pPr>
        <w:pStyle w:val="FirstParagraph"/>
      </w:pPr>
      <w:r>
        <w:t xml:space="preserve">New Jersey’s prior zero-emission certificate award concluded in May 2025. Therefore, Q2 2026 should contain nearly a full-quarter year-over-year headwind from the absence of those revenues. Management has already incorporated that change into guidance, so the market should not treat it as a new issue unless the realized impact differs materially from plan. (</w:t>
      </w:r>
      <w:hyperlink r:id="rId18">
        <w:r>
          <w:rPr>
            <w:rStyle w:val="Hyperlink"/>
          </w:rPr>
          <w:t xml:space="preserve">investor.pseg.com</w:t>
        </w:r>
      </w:hyperlink>
      <w:r>
        <w:t xml:space="preserve">)</w:t>
      </w:r>
    </w:p>
    <w:bookmarkEnd w:id="19"/>
    <w:bookmarkEnd w:id="20"/>
    <w:bookmarkStart w:id="22" w:name="Xb81030e2a992f6d5dbdd7e2c2b641d336e7b2e7"/>
    <w:p>
      <w:pPr>
        <w:pStyle w:val="Heading2"/>
      </w:pPr>
      <w:r>
        <w:t xml:space="preserve">Guidance: the most important financial signal</w:t>
      </w:r>
    </w:p>
    <w:p>
      <w:pPr>
        <w:pStyle w:val="FirstParagraph"/>
      </w:pPr>
      <w:r>
        <w:t xml:space="preserve">PSEG has maintained its</w:t>
      </w:r>
      <w:r>
        <w:t xml:space="preserve"> </w:t>
      </w:r>
      <m:oMath>
        <m:r>
          <m:t>4.28</m:t>
        </m:r>
        <m:r>
          <m:rPr>
            <m:sty m:val="p"/>
          </m:rPr>
          <m:t>–</m:t>
        </m:r>
      </m:oMath>
      <w:r>
        <w:rPr>
          <w:b/>
          <w:bCs/>
        </w:rPr>
        <w:t xml:space="preserve">4.40</w:t>
      </w:r>
      <w:r>
        <w:t xml:space="preserve"> </w:t>
      </w:r>
      <w:r>
        <w:t xml:space="preserve">range several times, including in a July investor presentation only weeks before the report. That makes unchanged guidance the base case rather than a positive surprise. (</w:t>
      </w:r>
      <w:hyperlink r:id="rId14">
        <w:r>
          <w:rPr>
            <w:rStyle w:val="Hyperlink"/>
          </w:rPr>
          <w:t xml:space="preserve">s24.q4cdn.com</w:t>
        </w:r>
      </w:hyperlink>
      <w:r>
        <w:t xml:space="preserve">)</w:t>
      </w:r>
    </w:p>
    <w:bookmarkStart w:id="21" w:name="interpretation-framework"/>
    <w:p>
      <w:pPr>
        <w:pStyle w:val="Heading3"/>
      </w:pPr>
      <w:r>
        <w:t xml:space="preserve">Interpretation framework</w:t>
      </w:r>
    </w:p>
    <w:p>
      <w:pPr>
        <w:pStyle w:val="Compact"/>
        <w:numPr>
          <w:ilvl w:val="0"/>
          <w:numId w:val="1004"/>
        </w:numPr>
      </w:pPr>
      <w:r>
        <w:rPr>
          <w:b/>
          <w:bCs/>
        </w:rPr>
        <w:t xml:space="preserve">Bullish:</w:t>
      </w:r>
      <w:r>
        <w:t xml:space="preserve"> </w:t>
      </w:r>
      <w:r>
        <w:t xml:space="preserve">Guidance is raised or narrowed to the upper half; management reports favorable utility cost control and clean nuclear execution.</w:t>
      </w:r>
    </w:p>
    <w:p>
      <w:pPr>
        <w:pStyle w:val="Compact"/>
        <w:numPr>
          <w:ilvl w:val="0"/>
          <w:numId w:val="1004"/>
        </w:numPr>
      </w:pPr>
      <w:r>
        <w:rPr>
          <w:b/>
          <w:bCs/>
        </w:rPr>
        <w:t xml:space="preserve">Constructive:</w:t>
      </w:r>
      <w:r>
        <w:t xml:space="preserve"> </w:t>
      </w:r>
      <w:r>
        <w:t xml:space="preserve">Full range is maintained, but management indicates performance is tracking above the midpoint.</w:t>
      </w:r>
    </w:p>
    <w:p>
      <w:pPr>
        <w:pStyle w:val="Compact"/>
        <w:numPr>
          <w:ilvl w:val="0"/>
          <w:numId w:val="1004"/>
        </w:numPr>
      </w:pPr>
      <w:r>
        <w:rPr>
          <w:b/>
          <w:bCs/>
        </w:rPr>
        <w:t xml:space="preserve">Neutral:</w:t>
      </w:r>
      <w:r>
        <w:t xml:space="preserve"> </w:t>
      </w:r>
      <w:r>
        <w:t xml:space="preserve">Full range is maintained with no directional commentary.</w:t>
      </w:r>
    </w:p>
    <w:p>
      <w:pPr>
        <w:pStyle w:val="Compact"/>
        <w:numPr>
          <w:ilvl w:val="0"/>
          <w:numId w:val="1004"/>
        </w:numPr>
      </w:pPr>
      <w:r>
        <w:rPr>
          <w:b/>
          <w:bCs/>
        </w:rPr>
        <w:t xml:space="preserve">Negative:</w:t>
      </w:r>
      <w:r>
        <w:t xml:space="preserve"> </w:t>
      </w:r>
      <w:r>
        <w:t xml:space="preserve">Management points to the lower half because of nuclear outages, higher financing/O&amp;M costs or regulatory effects.</w:t>
      </w:r>
    </w:p>
    <w:p>
      <w:pPr>
        <w:pStyle w:val="Compact"/>
        <w:numPr>
          <w:ilvl w:val="0"/>
          <w:numId w:val="1004"/>
        </w:numPr>
      </w:pPr>
      <w:r>
        <w:rPr>
          <w:b/>
          <w:bCs/>
        </w:rPr>
        <w:t xml:space="preserve">Very negative:</w:t>
      </w:r>
      <w:r>
        <w:t xml:space="preserve"> </w:t>
      </w:r>
      <w:r>
        <w:t xml:space="preserve">Guidance is reduced, especially so soon after the July reaffirmation.</w:t>
      </w:r>
    </w:p>
    <w:p>
      <w:pPr>
        <w:pStyle w:val="FirstParagraph"/>
      </w:pPr>
      <w:r>
        <w:t xml:space="preserve">PSEG highlights a record of meeting or exceeding operating-earnings guidance for 21 consecutive years. That history makes any reduction particularly consequential for the stock’s credibility premium. (</w:t>
      </w:r>
      <w:hyperlink r:id="rId14">
        <w:r>
          <w:rPr>
            <w:rStyle w:val="Hyperlink"/>
          </w:rPr>
          <w:t xml:space="preserve">s24.q4cdn.com</w:t>
        </w:r>
      </w:hyperlink>
      <w:r>
        <w:t xml:space="preserve">)</w:t>
      </w:r>
    </w:p>
    <w:bookmarkEnd w:id="21"/>
    <w:bookmarkEnd w:id="22"/>
    <w:bookmarkStart w:id="28" w:name="Xa35e3a71941e846a036fb70f1b70e36cff7ed33"/>
    <w:p>
      <w:pPr>
        <w:pStyle w:val="Heading2"/>
      </w:pPr>
      <w:r>
        <w:t xml:space="preserve">The major new issue: New Jersey regulatory risk</w:t>
      </w:r>
    </w:p>
    <w:p>
      <w:pPr>
        <w:pStyle w:val="FirstParagraph"/>
      </w:pPr>
      <w:r>
        <w:t xml:space="preserve">This is likely the most important discussion on the call.</w:t>
      </w:r>
    </w:p>
    <w:bookmarkStart w:id="24" w:name="utility-business-model-review"/>
    <w:p>
      <w:pPr>
        <w:pStyle w:val="Heading3"/>
      </w:pPr>
      <w:r>
        <w:t xml:space="preserve">Utility-business-model review</w:t>
      </w:r>
    </w:p>
    <w:p>
      <w:pPr>
        <w:pStyle w:val="FirstParagraph"/>
      </w:pPr>
      <w:r>
        <w:t xml:space="preserve">New Jersey released Phase 1 of its electric utility business-model study in July. The report concluded that distribution—the portion most directly controlled by state regulators—accounts for roughly one-quarter of the typical residential bill, and that no single reform is likely to solve the affordability problem. However, it recommended that the near-term process prioritize:</w:t>
      </w:r>
    </w:p>
    <w:p>
      <w:pPr>
        <w:pStyle w:val="Compact"/>
        <w:numPr>
          <w:ilvl w:val="0"/>
          <w:numId w:val="1005"/>
        </w:numPr>
      </w:pPr>
      <w:r>
        <w:t xml:space="preserve">Greater scrutiny of capital spending;</w:t>
      </w:r>
    </w:p>
    <w:p>
      <w:pPr>
        <w:pStyle w:val="Compact"/>
        <w:numPr>
          <w:ilvl w:val="0"/>
          <w:numId w:val="1005"/>
        </w:numPr>
      </w:pPr>
      <w:r>
        <w:t xml:space="preserve">Stronger transparency and cost discipline;</w:t>
      </w:r>
    </w:p>
    <w:p>
      <w:pPr>
        <w:pStyle w:val="Compact"/>
        <w:numPr>
          <w:ilvl w:val="0"/>
          <w:numId w:val="1005"/>
        </w:numPr>
      </w:pPr>
      <w:r>
        <w:t xml:space="preserve">Review of accelerated recovery mechanisms;</w:t>
      </w:r>
    </w:p>
    <w:p>
      <w:pPr>
        <w:pStyle w:val="Compact"/>
        <w:numPr>
          <w:ilvl w:val="0"/>
          <w:numId w:val="1005"/>
        </w:numPr>
      </w:pPr>
      <w:r>
        <w:t xml:space="preserve">Quantitative analysis of ROE, capital structure and other financing reforms;</w:t>
      </w:r>
    </w:p>
    <w:p>
      <w:pPr>
        <w:pStyle w:val="Compact"/>
        <w:numPr>
          <w:ilvl w:val="0"/>
          <w:numId w:val="1005"/>
        </w:numPr>
      </w:pPr>
      <w:r>
        <w:t xml:space="preserve">Potential longer-term performance-based regulation. (</w:t>
      </w:r>
      <w:hyperlink r:id="rId23">
        <w:r>
          <w:rPr>
            <w:rStyle w:val="Hyperlink"/>
          </w:rPr>
          <w:t xml:space="preserve">nj.gov</w:t>
        </w:r>
      </w:hyperlink>
      <w:r>
        <w:t xml:space="preserve">)</w:t>
      </w:r>
    </w:p>
    <w:p>
      <w:pPr>
        <w:pStyle w:val="FirstParagraph"/>
      </w:pPr>
      <w:r>
        <w:t xml:space="preserve">That is somewhat reassuring because it rejects a simplistic, immediate overhaul. But it also directly targets the mechanisms supporting PSE&amp;G’s capital-led growth model.</w:t>
      </w:r>
    </w:p>
    <w:p>
      <w:pPr>
        <w:pStyle w:val="BodyText"/>
      </w:pPr>
      <w:r>
        <w:t xml:space="preserve">Investors should listen for whether management still sees its</w:t>
      </w:r>
      <w:r>
        <w:t xml:space="preserve"> </w:t>
      </w:r>
      <m:oMath>
        <m:r>
          <m:t>22.5</m:t>
        </m:r>
        <m:r>
          <m:t>B</m:t>
        </m:r>
        <m:r>
          <m:rPr>
            <m:sty m:val="p"/>
          </m:rPr>
          <m:t>–</m:t>
        </m:r>
      </m:oMath>
      <w:r>
        <w:rPr>
          <w:b/>
          <w:bCs/>
        </w:rPr>
        <w:t xml:space="preserve">25.5B regulated capital plan and 6%–7.5% rate-base CAGR as fully intact</w:t>
      </w:r>
      <w:r>
        <w:t xml:space="preserve"> </w:t>
      </w:r>
      <w:r>
        <w:t xml:space="preserve">following the report.</w:t>
      </w:r>
    </w:p>
    <w:bookmarkEnd w:id="24"/>
    <w:bookmarkStart w:id="27" w:name="X3dc5a0d0ffa9ad4f39269f82b29b9d4dd38ef81"/>
    <w:p>
      <w:pPr>
        <w:pStyle w:val="Heading3"/>
      </w:pPr>
      <w:r>
        <w:t xml:space="preserve">Loss of the 50-basis-point RTO participation adder</w:t>
      </w:r>
    </w:p>
    <w:p>
      <w:pPr>
        <w:pStyle w:val="FirstParagraph"/>
      </w:pPr>
      <w:r>
        <w:t xml:space="preserve">On July 7, Governor Mikie Sherrill signed legislation making RTO membership mandatory for New Jersey transmission utilities, eliminating eligibility for the</w:t>
      </w:r>
      <w:r>
        <w:t xml:space="preserve"> </w:t>
      </w:r>
      <w:r>
        <w:rPr>
          <w:b/>
          <w:bCs/>
        </w:rPr>
        <w:t xml:space="preserve">50-basis-point voluntary RTO participation ROE incentive</w:t>
      </w:r>
      <w:r>
        <w:t xml:space="preserve">. The package also increased state oversight of certain utility infrastructure investments. (</w:t>
      </w:r>
      <w:hyperlink r:id="rId25">
        <w:r>
          <w:rPr>
            <w:rStyle w:val="Hyperlink"/>
          </w:rPr>
          <w:t xml:space="preserve">nj.gov</w:t>
        </w:r>
      </w:hyperlink>
      <w:r>
        <w:t xml:space="preserve">)</w:t>
      </w:r>
    </w:p>
    <w:p>
      <w:pPr>
        <w:pStyle w:val="BodyText"/>
      </w:pPr>
      <w:r>
        <w:t xml:space="preserve">PSEG’s July presentation had identified the potential loss of that 50-basis-point adder as a risk. Now that the legislation has been signed, investors need management to quantify:</w:t>
      </w:r>
    </w:p>
    <w:p>
      <w:pPr>
        <w:pStyle w:val="Compact"/>
        <w:numPr>
          <w:ilvl w:val="0"/>
          <w:numId w:val="1006"/>
        </w:numPr>
      </w:pPr>
      <w:r>
        <w:t xml:space="preserve">The expected annual earnings impact;</w:t>
      </w:r>
    </w:p>
    <w:p>
      <w:pPr>
        <w:pStyle w:val="Compact"/>
        <w:numPr>
          <w:ilvl w:val="0"/>
          <w:numId w:val="1006"/>
        </w:numPr>
      </w:pPr>
      <w:r>
        <w:t xml:space="preserve">When the effect begins;</w:t>
      </w:r>
    </w:p>
    <w:p>
      <w:pPr>
        <w:pStyle w:val="Compact"/>
        <w:numPr>
          <w:ilvl w:val="0"/>
          <w:numId w:val="1006"/>
        </w:numPr>
      </w:pPr>
      <w:r>
        <w:t xml:space="preserve">Whether it is already incorporated into the 6%–8% growth outlook;</w:t>
      </w:r>
    </w:p>
    <w:p>
      <w:pPr>
        <w:pStyle w:val="Compact"/>
        <w:numPr>
          <w:ilvl w:val="0"/>
          <w:numId w:val="1006"/>
        </w:numPr>
      </w:pPr>
      <w:r>
        <w:t xml:space="preserve">Whether other transmission investment or cost-recovery opportunities can offset it. (</w:t>
      </w:r>
      <w:hyperlink r:id="rId26">
        <w:r>
          <w:rPr>
            <w:rStyle w:val="Hyperlink"/>
          </w:rPr>
          <w:t xml:space="preserve">s24.q4cdn.com</w:t>
        </w:r>
      </w:hyperlink>
      <w:r>
        <w:t xml:space="preserve">)</w:t>
      </w:r>
    </w:p>
    <w:p>
      <w:pPr>
        <w:pStyle w:val="FirstParagraph"/>
      </w:pPr>
      <w:r>
        <w:t xml:space="preserve">This may not materially alter Q2, but it could affect the quality and valuation of PEG’s longer-term earnings growth.</w:t>
      </w:r>
    </w:p>
    <w:bookmarkEnd w:id="27"/>
    <w:bookmarkEnd w:id="28"/>
    <w:bookmarkStart w:id="29" w:name="Xd205e01a4dd90665c697a3bca7867a228732d89"/>
    <w:p>
      <w:pPr>
        <w:pStyle w:val="Heading2"/>
      </w:pPr>
      <w:r>
        <w:t xml:space="preserve">Nuclear upside: valuable, but investors need evidence</w:t>
      </w:r>
    </w:p>
    <w:p>
      <w:pPr>
        <w:pStyle w:val="FirstParagraph"/>
      </w:pPr>
      <w:r>
        <w:t xml:space="preserve">The July presentation outlined several credible nuclear growth opportunities:</w:t>
      </w:r>
    </w:p>
    <w:p>
      <w:pPr>
        <w:pStyle w:val="Compact"/>
        <w:numPr>
          <w:ilvl w:val="0"/>
          <w:numId w:val="1007"/>
        </w:numPr>
      </w:pPr>
      <w:r>
        <w:t xml:space="preserve">A roughly</w:t>
      </w:r>
      <w:r>
        <w:t xml:space="preserve"> </w:t>
      </w:r>
      <w:r>
        <w:rPr>
          <w:b/>
          <w:bCs/>
        </w:rPr>
        <w:t xml:space="preserve">112 MW PSEG-share Salem uprate</w:t>
      </w:r>
      <w:r>
        <w:t xml:space="preserve">, expected to enter service through 2027–2029;</w:t>
      </w:r>
    </w:p>
    <w:p>
      <w:pPr>
        <w:pStyle w:val="Compact"/>
        <w:numPr>
          <w:ilvl w:val="0"/>
          <w:numId w:val="1007"/>
        </w:numPr>
      </w:pPr>
      <w:r>
        <w:t xml:space="preserve">Potential eligibility for approximately ten years of incremental clean-energy production credits on qualified added capacity;</w:t>
      </w:r>
    </w:p>
    <w:p>
      <w:pPr>
        <w:pStyle w:val="Compact"/>
        <w:numPr>
          <w:ilvl w:val="0"/>
          <w:numId w:val="1007"/>
        </w:numPr>
      </w:pPr>
      <w:r>
        <w:t xml:space="preserve">Subsequent license-renewal applications planned for 2027, with management anticipating NRC decisions in 2029;</w:t>
      </w:r>
    </w:p>
    <w:p>
      <w:pPr>
        <w:pStyle w:val="Compact"/>
        <w:numPr>
          <w:ilvl w:val="0"/>
          <w:numId w:val="1007"/>
        </w:numPr>
      </w:pPr>
      <w:r>
        <w:t xml:space="preserve">Potential multi-year power contracts with data centers or other large customers;</w:t>
      </w:r>
    </w:p>
    <w:p>
      <w:pPr>
        <w:pStyle w:val="Compact"/>
        <w:numPr>
          <w:ilvl w:val="0"/>
          <w:numId w:val="1007"/>
        </w:numPr>
      </w:pPr>
      <w:r>
        <w:t xml:space="preserve">Eventual conversion of Salem to longer refueling cycles. (</w:t>
      </w:r>
      <w:hyperlink r:id="rId14">
        <w:r>
          <w:rPr>
            <w:rStyle w:val="Hyperlink"/>
          </w:rPr>
          <w:t xml:space="preserve">s24.q4cdn.com</w:t>
        </w:r>
      </w:hyperlink>
      <w:r>
        <w:t xml:space="preserve">)</w:t>
      </w:r>
    </w:p>
    <w:p>
      <w:pPr>
        <w:pStyle w:val="FirstParagraph"/>
      </w:pPr>
      <w:r>
        <w:t xml:space="preserve">These opportunities are attractive because they could add earnings above the stated 6%–8% growth target. But most remain future opportunities rather than contracted earnings.</w:t>
      </w:r>
    </w:p>
    <w:p>
      <w:pPr>
        <w:pStyle w:val="BodyText"/>
      </w:pPr>
      <w:r>
        <w:t xml:space="preserve">The highest-value update would be</w:t>
      </w:r>
      <w:r>
        <w:t xml:space="preserve"> </w:t>
      </w:r>
      <w:r>
        <w:rPr>
          <w:b/>
          <w:bCs/>
        </w:rPr>
        <w:t xml:space="preserve">specific progress toward a long-term nuclear PPA</w:t>
      </w:r>
      <w:r>
        <w:t xml:space="preserve">, including expected pricing relative to the nuclear production-tax-credit threshold, contract duration and whether the buyer would support incremental generation investment.</w:t>
      </w:r>
    </w:p>
    <w:bookmarkEnd w:id="29"/>
    <w:bookmarkStart w:id="30" w:name="valuation-and-market-setup"/>
    <w:p>
      <w:pPr>
        <w:pStyle w:val="Heading2"/>
      </w:pPr>
      <w:r>
        <w:t xml:space="preserve">Valuation and market setup</w:t>
      </w:r>
    </w:p>
    <w:p>
      <w:pPr>
        <w:pStyle w:val="FirstParagraph"/>
      </w:pPr>
      <w:r>
        <w:t xml:space="preserve">PEG closed August 3 around</w:t>
      </w:r>
      <w:r>
        <w:t xml:space="preserve"> </w:t>
      </w:r>
      <w:r>
        <w:rPr>
          <w:b/>
          <w:bCs/>
        </w:rPr>
        <w:t xml:space="preserve">$76.62</w:t>
      </w:r>
      <w:r>
        <w:t xml:space="preserve">. At the $4.34 guidance midpoint, the stock trades at approximately</w:t>
      </w:r>
      <w:r>
        <w:t xml:space="preserve"> </w:t>
      </w:r>
      <w:r>
        <w:rPr>
          <w:b/>
          <w:bCs/>
        </w:rPr>
        <w:t xml:space="preserve">17.7 times 2026 adjusted EPS</w:t>
      </w:r>
      <w:r>
        <w:t xml:space="preserve">. The $2.68 indicative annual dividend represents a yield of roughly</w:t>
      </w:r>
      <w:r>
        <w:t xml:space="preserve"> </w:t>
      </w:r>
      <w:r>
        <w:rPr>
          <w:b/>
          <w:bCs/>
        </w:rPr>
        <w:t xml:space="preserve">3.5%</w:t>
      </w:r>
      <w:r>
        <w:t xml:space="preserve">. (</w:t>
      </w:r>
      <w:hyperlink r:id="rId14">
        <w:r>
          <w:rPr>
            <w:rStyle w:val="Hyperlink"/>
          </w:rPr>
          <w:t xml:space="preserve">s24.q4cdn.com</w:t>
        </w:r>
      </w:hyperlink>
      <w:r>
        <w:t xml:space="preserve">)</w:t>
      </w:r>
    </w:p>
    <w:p>
      <w:pPr>
        <w:pStyle w:val="BodyText"/>
      </w:pPr>
      <w:r>
        <w:t xml:space="preserve">That is not an extreme valuation for a utility with 6%–8% targeted earnings growth, no planned equity issuance and incremental nuclear upside. But the stock now needs reassurance that New Jersey’s affordability agenda will not materially weaken allowed returns, accelerated recovery or capital deployment.</w:t>
      </w:r>
    </w:p>
    <w:bookmarkEnd w:id="30"/>
    <w:bookmarkStart w:id="31" w:name="earnings-scorecard"/>
    <w:p>
      <w:pPr>
        <w:pStyle w:val="Heading2"/>
      </w:pPr>
      <w:r>
        <w:t xml:space="preserve">Earnings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Area</w:t>
            </w:r>
          </w:p>
        </w:tc>
        <w:tc>
          <w:tcPr/>
          <w:p>
            <w:pPr>
              <w:pStyle w:val="Compact"/>
            </w:pPr>
            <w:r>
              <w:t xml:space="preserve">Positive outcome</w:t>
            </w:r>
          </w:p>
        </w:tc>
        <w:tc>
          <w:tcPr/>
          <w:p>
            <w:pPr>
              <w:pStyle w:val="Compact"/>
            </w:pPr>
            <w:r>
              <w:t xml:space="preserve">Negative outcome</w:t>
            </w:r>
          </w:p>
        </w:tc>
      </w:tr>
      <w:tr>
        <w:tc>
          <w:tcPr/>
          <w:p>
            <w:pPr>
              <w:pStyle w:val="Compact"/>
            </w:pPr>
            <w:r>
              <w:t xml:space="preserve">Adjusted EPS</w:t>
            </w:r>
          </w:p>
        </w:tc>
        <w:tc>
          <w:tcPr/>
          <w:p>
            <w:pPr>
              <w:pStyle w:val="Compact"/>
            </w:pPr>
            <w:r>
              <w:t xml:space="preserve">Above roughly $0.79 with good earnings quality</w:t>
            </w:r>
          </w:p>
        </w:tc>
        <w:tc>
          <w:tcPr/>
          <w:p>
            <w:pPr>
              <w:pStyle w:val="Compact"/>
            </w:pPr>
            <w:r>
              <w:t xml:space="preserve">Miss driven by recurring O&amp;M, interest or utility weakness</w:t>
            </w:r>
          </w:p>
        </w:tc>
      </w:tr>
      <w:tr>
        <w:tc>
          <w:tcPr/>
          <w:p>
            <w:pPr>
              <w:pStyle w:val="Compact"/>
            </w:pPr>
            <w:r>
              <w:t xml:space="preserve">FY2026 guidance</w:t>
            </w:r>
          </w:p>
        </w:tc>
        <w:tc>
          <w:tcPr/>
          <w:p>
            <w:pPr>
              <w:pStyle w:val="Compact"/>
            </w:pPr>
            <w:r>
              <w:t xml:space="preserve">Raised, narrowed upward or tracking above midpoint</w:t>
            </w:r>
          </w:p>
        </w:tc>
        <w:tc>
          <w:tcPr/>
          <w:p>
            <w:pPr>
              <w:pStyle w:val="Compact"/>
            </w:pPr>
            <w:r>
              <w:t xml:space="preserve">Lower-half bias or reduction</w:t>
            </w:r>
          </w:p>
        </w:tc>
      </w:tr>
      <w:tr>
        <w:tc>
          <w:tcPr/>
          <w:p>
            <w:pPr>
              <w:pStyle w:val="Compact"/>
            </w:pPr>
            <w:r>
              <w:t xml:space="preserve">PSE&amp;G</w:t>
            </w:r>
          </w:p>
        </w:tc>
        <w:tc>
          <w:tcPr/>
          <w:p>
            <w:pPr>
              <w:pStyle w:val="Compact"/>
            </w:pPr>
            <w:r>
              <w:t xml:space="preserve">Capital plan on budget; rate-base growth intact</w:t>
            </w:r>
          </w:p>
        </w:tc>
        <w:tc>
          <w:tcPr/>
          <w:p>
            <w:pPr>
              <w:pStyle w:val="Compact"/>
            </w:pPr>
            <w:r>
              <w:t xml:space="preserve">Slower investment or weaker recovery expectations</w:t>
            </w:r>
          </w:p>
        </w:tc>
      </w:tr>
      <w:tr>
        <w:tc>
          <w:tcPr/>
          <w:p>
            <w:pPr>
              <w:pStyle w:val="Compact"/>
            </w:pPr>
            <w:r>
              <w:t xml:space="preserve">Regulation</w:t>
            </w:r>
          </w:p>
        </w:tc>
        <w:tc>
          <w:tcPr/>
          <w:p>
            <w:pPr>
              <w:pStyle w:val="Compact"/>
            </w:pPr>
            <w:r>
              <w:t xml:space="preserve">Limited earnings impact; constructive Phase 2 engagement</w:t>
            </w:r>
          </w:p>
        </w:tc>
        <w:tc>
          <w:tcPr/>
          <w:p>
            <w:pPr>
              <w:pStyle w:val="Compact"/>
            </w:pPr>
            <w:r>
              <w:t xml:space="preserve">Material ROE or tracker risk; lower capex outlook</w:t>
            </w:r>
          </w:p>
        </w:tc>
      </w:tr>
      <w:tr>
        <w:tc>
          <w:tcPr/>
          <w:p>
            <w:pPr>
              <w:pStyle w:val="Compact"/>
            </w:pPr>
            <w:r>
              <w:t xml:space="preserve">Nuclear</w:t>
            </w:r>
          </w:p>
        </w:tc>
        <w:tc>
          <w:tcPr/>
          <w:p>
            <w:pPr>
              <w:pStyle w:val="Compact"/>
            </w:pPr>
            <w:r>
              <w:t xml:space="preserve">Salem outage on plan; 30–32 TWh maintained</w:t>
            </w:r>
          </w:p>
        </w:tc>
        <w:tc>
          <w:tcPr/>
          <w:p>
            <w:pPr>
              <w:pStyle w:val="Compact"/>
            </w:pPr>
            <w:r>
              <w:t xml:space="preserve">Outage extension, higher costs or lower generation</w:t>
            </w:r>
          </w:p>
        </w:tc>
      </w:tr>
      <w:tr>
        <w:tc>
          <w:tcPr/>
          <w:p>
            <w:pPr>
              <w:pStyle w:val="Compact"/>
            </w:pPr>
            <w:r>
              <w:t xml:space="preserve">Transmission adder</w:t>
            </w:r>
          </w:p>
        </w:tc>
        <w:tc>
          <w:tcPr/>
          <w:p>
            <w:pPr>
              <w:pStyle w:val="Compact"/>
            </w:pPr>
            <w:r>
              <w:t xml:space="preserve">Clearly quantified and manageable</w:t>
            </w:r>
          </w:p>
        </w:tc>
        <w:tc>
          <w:tcPr/>
          <w:p>
            <w:pPr>
              <w:pStyle w:val="Compact"/>
            </w:pPr>
            <w:r>
              <w:t xml:space="preserve">Unquantified or meaningful long-term drag</w:t>
            </w:r>
          </w:p>
        </w:tc>
      </w:tr>
      <w:tr>
        <w:tc>
          <w:tcPr/>
          <w:p>
            <w:pPr>
              <w:pStyle w:val="Compact"/>
            </w:pPr>
            <w:r>
              <w:t xml:space="preserve">Nuclear contracts</w:t>
            </w:r>
          </w:p>
        </w:tc>
        <w:tc>
          <w:tcPr/>
          <w:p>
            <w:pPr>
              <w:pStyle w:val="Compact"/>
            </w:pPr>
            <w:r>
              <w:t xml:space="preserve">Concrete negotiations or agreement</w:t>
            </w:r>
          </w:p>
        </w:tc>
        <w:tc>
          <w:tcPr/>
          <w:p>
            <w:pPr>
              <w:pStyle w:val="Compact"/>
            </w:pPr>
            <w:r>
              <w:t xml:space="preserve">Continued broad optionality with no measurable progress</w:t>
            </w:r>
          </w:p>
        </w:tc>
      </w:tr>
      <w:tr>
        <w:tc>
          <w:tcPr/>
          <w:p>
            <w:pPr>
              <w:pStyle w:val="Compact"/>
            </w:pPr>
            <w:r>
              <w:t xml:space="preserve">Financing</w:t>
            </w:r>
          </w:p>
        </w:tc>
        <w:tc>
          <w:tcPr/>
          <w:p>
            <w:pPr>
              <w:pStyle w:val="Compact"/>
            </w:pPr>
            <w:r>
              <w:t xml:space="preserve">No-equity plan reaffirmed; credit metrics intact</w:t>
            </w:r>
          </w:p>
        </w:tc>
        <w:tc>
          <w:tcPr/>
          <w:p>
            <w:pPr>
              <w:pStyle w:val="Compact"/>
            </w:pPr>
            <w:r>
              <w:t xml:space="preserve">Higher funding needs or deteriorating FFO/debt</w:t>
            </w:r>
          </w:p>
        </w:tc>
      </w:tr>
    </w:tbl>
    <w:bookmarkEnd w:id="31"/>
    <w:bookmarkStart w:id="32" w:name="bottom-line"/>
    <w:p>
      <w:pPr>
        <w:pStyle w:val="Heading2"/>
      </w:pPr>
      <w:r>
        <w:t xml:space="preserve">Bottom line</w:t>
      </w:r>
    </w:p>
    <w:p>
      <w:pPr>
        <w:pStyle w:val="FirstParagraph"/>
      </w:pPr>
      <w:r>
        <w:rPr>
          <w:b/>
          <w:bCs/>
        </w:rPr>
        <w:t xml:space="preserve">The base case is a roughly in-line quarter and reaffirmed</w:t>
      </w:r>
      <w:r>
        <w:rPr>
          <w:b/>
          <w:bCs/>
        </w:rPr>
        <w:t xml:space="preserve"> </w:t>
      </w:r>
      <m:oMath>
        <m:r>
          <m:t>4.28</m:t>
        </m:r>
        <m:r>
          <m:rPr>
            <m:sty m:val="p"/>
          </m:rPr>
          <m:t>–</m:t>
        </m:r>
      </m:oMath>
      <w:r>
        <w:rPr>
          <w:b/>
          <w:bCs/>
        </w:rPr>
        <w:t xml:space="preserve">4.40 guidance.</w:t>
      </w:r>
      <w:r>
        <w:t xml:space="preserve"> </w:t>
      </w:r>
      <w:r>
        <w:t xml:space="preserve">That alone may not be enough for a strong stock reaction because guidance was reiterated in July.</w:t>
      </w:r>
    </w:p>
    <w:p>
      <w:pPr>
        <w:pStyle w:val="BodyText"/>
      </w:pPr>
      <w:r>
        <w:t xml:space="preserve">The report becomes meaningfully bullish if PSEG:</w:t>
      </w:r>
    </w:p>
    <w:p>
      <w:pPr>
        <w:pStyle w:val="Compact"/>
        <w:numPr>
          <w:ilvl w:val="0"/>
          <w:numId w:val="1008"/>
        </w:numPr>
      </w:pPr>
      <w:r>
        <w:t xml:space="preserve">Signals earnings are tracking toward the upper half of guidance;</w:t>
      </w:r>
    </w:p>
    <w:p>
      <w:pPr>
        <w:pStyle w:val="Compact"/>
        <w:numPr>
          <w:ilvl w:val="0"/>
          <w:numId w:val="1008"/>
        </w:numPr>
      </w:pPr>
      <w:r>
        <w:t xml:space="preserve">Confirms the regulated capital and rate-base outlook despite New Jersey’s reforms;</w:t>
      </w:r>
    </w:p>
    <w:p>
      <w:pPr>
        <w:pStyle w:val="Compact"/>
        <w:numPr>
          <w:ilvl w:val="0"/>
          <w:numId w:val="1008"/>
        </w:numPr>
      </w:pPr>
      <w:r>
        <w:t xml:space="preserve">Quantifies the loss of the 50-basis-point transmission adder as manageable; and</w:t>
      </w:r>
    </w:p>
    <w:p>
      <w:pPr>
        <w:pStyle w:val="Compact"/>
        <w:numPr>
          <w:ilvl w:val="0"/>
          <w:numId w:val="1008"/>
        </w:numPr>
      </w:pPr>
      <w:r>
        <w:t xml:space="preserve">Provides concrete progress on nuclear uprates or long-term power contracts.</w:t>
      </w:r>
    </w:p>
    <w:p>
      <w:pPr>
        <w:pStyle w:val="FirstParagraph"/>
      </w:pPr>
      <w:r>
        <w:t xml:space="preserve">Conversely, the main downside is not a modest EPS miss. It is evidence that</w:t>
      </w:r>
      <w:r>
        <w:t xml:space="preserve"> </w:t>
      </w:r>
      <w:r>
        <w:rPr>
          <w:b/>
          <w:bCs/>
        </w:rPr>
        <w:t xml:space="preserve">regulatory changes are reducing the return or recoverability of PSE&amp;G’s investment program</w:t>
      </w:r>
      <w:r>
        <w:t xml:space="preserve">, undermining the 6%–8% long-term growth thesis.</w:t>
      </w:r>
    </w:p>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8" Target="https://investor.pseg.com/investor-news-and-events/financial-news/financial-news-details/2025/PSEG-ANNOUNCES-SECOND-QUARTER-2025-RESULTS/default.aspx?utm_source=openai" TargetMode="External" /><Relationship Type="http://schemas.openxmlformats.org/officeDocument/2006/relationships/hyperlink" Id="rId12" Target="https://investor.pseg.com/investor-news-and-events/financial-news/financial-news-details/2026/PSEG-ANNOUNCES-FIRST-QUARTER-2026-RESULTS/default.aspx?utm_source=openai" TargetMode="External" /><Relationship Type="http://schemas.openxmlformats.org/officeDocument/2006/relationships/hyperlink" Id="rId9" Target="https://investor.pseg.com/investor-news-and-events/financial-news/financial-news-details/2026/PSEG-To-Announce-Second-Quarter-2026-Financial-Results-On-August-4/default.aspx?utm_source=openai" TargetMode="External" /><Relationship Type="http://schemas.openxmlformats.org/officeDocument/2006/relationships/hyperlink" Id="rId23" Target="https://nj.gov/bpu/pdf/reports/EO26040117-%20EO%201%20Elec%20Utility%20Bus%20Model-%20Final%20Phase%201%20Report%20%287.15.26%29.pdf" TargetMode="External" /><Relationship Type="http://schemas.openxmlformats.org/officeDocument/2006/relationships/hyperlink" Id="rId14" Target="https://s24.q4cdn.com/601515617/files/doc_financials/2026/PSEG-July-2026-Investor-Update-Final.pdf" TargetMode="External" /><Relationship Type="http://schemas.openxmlformats.org/officeDocument/2006/relationships/hyperlink" Id="rId26" Target="https://s24.q4cdn.com/601515617/files/doc_financials/2026/PSEG-July-2026-Investor-Update-Final.pdf?utm_source=openai" TargetMode="External" /><Relationship Type="http://schemas.openxmlformats.org/officeDocument/2006/relationships/hyperlink" Id="rId15" Target="https://s24.q4cdn.com/601515617/files/doc_financials/2026/q1/PSEG-WEBCASTSLIDES-Q1-2026-Final.pdf" TargetMode="External" /><Relationship Type="http://schemas.openxmlformats.org/officeDocument/2006/relationships/hyperlink" Id="rId25" Target="https://www.nj.gov/governor/news/2026/approved/20260707a.shtml?utm_source=openai" TargetMode="External" /><Relationship Type="http://schemas.openxmlformats.org/officeDocument/2006/relationships/hyperlink" Id="rId11" Target="https://www.tipranks.com/stocks/peg/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8" Target="https://investor.pseg.com/investor-news-and-events/financial-news/financial-news-details/2025/PSEG-ANNOUNCES-SECOND-QUARTER-2025-RESULTS/default.aspx?utm_source=openai" TargetMode="External" /><Relationship Type="http://schemas.openxmlformats.org/officeDocument/2006/relationships/hyperlink" Id="rId12" Target="https://investor.pseg.com/investor-news-and-events/financial-news/financial-news-details/2026/PSEG-ANNOUNCES-FIRST-QUARTER-2026-RESULTS/default.aspx?utm_source=openai" TargetMode="External" /><Relationship Type="http://schemas.openxmlformats.org/officeDocument/2006/relationships/hyperlink" Id="rId9" Target="https://investor.pseg.com/investor-news-and-events/financial-news/financial-news-details/2026/PSEG-To-Announce-Second-Quarter-2026-Financial-Results-On-August-4/default.aspx?utm_source=openai" TargetMode="External" /><Relationship Type="http://schemas.openxmlformats.org/officeDocument/2006/relationships/hyperlink" Id="rId23" Target="https://nj.gov/bpu/pdf/reports/EO26040117-%20EO%201%20Elec%20Utility%20Bus%20Model-%20Final%20Phase%201%20Report%20%287.15.26%29.pdf" TargetMode="External" /><Relationship Type="http://schemas.openxmlformats.org/officeDocument/2006/relationships/hyperlink" Id="rId14" Target="https://s24.q4cdn.com/601515617/files/doc_financials/2026/PSEG-July-2026-Investor-Update-Final.pdf" TargetMode="External" /><Relationship Type="http://schemas.openxmlformats.org/officeDocument/2006/relationships/hyperlink" Id="rId26" Target="https://s24.q4cdn.com/601515617/files/doc_financials/2026/PSEG-July-2026-Investor-Update-Final.pdf?utm_source=openai" TargetMode="External" /><Relationship Type="http://schemas.openxmlformats.org/officeDocument/2006/relationships/hyperlink" Id="rId15" Target="https://s24.q4cdn.com/601515617/files/doc_financials/2026/q1/PSEG-WEBCASTSLIDES-Q1-2026-Final.pdf" TargetMode="External" /><Relationship Type="http://schemas.openxmlformats.org/officeDocument/2006/relationships/hyperlink" Id="rId25" Target="https://www.nj.gov/governor/news/2026/approved/20260707a.shtml?utm_source=openai" TargetMode="External" /><Relationship Type="http://schemas.openxmlformats.org/officeDocument/2006/relationships/hyperlink" Id="rId11" Target="https://www.tipranks.com/stocks/peg/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2026-08-04T01:13:04Z</dcterms:created>
  <dcterms:modified xsi:type="dcterms:W3CDTF">2026-08-04T01:13:04Z</dcterms:modified>
</cp:coreProperties>
</file>

<file path=docProps/custom.xml><?xml version="1.0" encoding="utf-8"?>
<Properties xmlns="http://schemas.openxmlformats.org/officeDocument/2006/custom-properties" xmlns:vt="http://schemas.openxmlformats.org/officeDocument/2006/docPropsVTypes"/>
</file>