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peg-pseg-q2-2026-earnings-preview"/>
    <w:p>
      <w:pPr>
        <w:pStyle w:val="Heading1"/>
      </w:pPr>
      <w:r>
        <w:t xml:space="preserve">PEG (PSEG) Q2 2026 Earnings Preview</w:t>
      </w:r>
    </w:p>
    <w:p>
      <w:pPr>
        <w:pStyle w:val="BlockText"/>
      </w:pPr>
      <w:r>
        <w:rPr>
          <w:b/>
          <w:bCs/>
        </w:rPr>
        <w:t xml:space="preserve">Date clarification:</w:t>
      </w:r>
      <w:r>
        <w:t xml:space="preserve"> </w:t>
      </w:r>
      <w:r>
        <w:t xml:space="preserve">PEG’s 2026Q2 earnings event is</w:t>
      </w:r>
      <w:r>
        <w:t xml:space="preserve"> </w:t>
      </w:r>
      <w:r>
        <w:rPr>
          <w:b/>
          <w:bCs/>
        </w:rPr>
        <w:t xml:space="preserve">today, Tuesday, August 4, 2026</w:t>
      </w:r>
      <w:r>
        <w:t xml:space="preserve">—not tomorrow. This preview reflects information available before the report.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PSEG enters Q2 with a strong first-quarter beat, reaffirmed full-year guidance, and a constructive multi-year regulated-investment story. The central question for this report is less about a single quarter’s EPS—Q2 is seasonally a lower earnings period—and more about whether management can</w:t>
      </w:r>
      <w:r>
        <w:t xml:space="preserve"> </w:t>
      </w:r>
      <w:r>
        <w:rPr>
          <w:b/>
          <w:bCs/>
        </w:rPr>
        <w:t xml:space="preserve">reaffirm confidence in the</w:t>
      </w:r>
      <w:r>
        <w:rPr>
          <w:b/>
          <w:bCs/>
        </w:rPr>
        <w:t xml:space="preserve"> </w:t>
      </w:r>
      <m:oMath>
        <m:r>
          <m:t>4.28</m:t>
        </m:r>
        <m:r>
          <m:rPr>
            <m:sty m:val="p"/>
          </m:rPr>
          <m:t>–</m:t>
        </m:r>
      </m:oMath>
      <w:r>
        <w:rPr>
          <w:b/>
          <w:bCs/>
        </w:rPr>
        <w:t xml:space="preserve">4.40 operating-EPS range</w:t>
      </w:r>
      <w:r>
        <w:t xml:space="preserve"> </w:t>
      </w:r>
      <w:r>
        <w:t xml:space="preserve">while showing that its utility capital plan, nuclear fleet economics, and balance sheet remain on track.</w:t>
      </w:r>
    </w:p>
    <w:p>
      <w:pPr>
        <w:pStyle w:val="BodyText"/>
      </w:pPr>
      <w:r>
        <w:t xml:space="preserve">The setup appears balanced: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Supportive:</w:t>
      </w:r>
      <w:r>
        <w:t xml:space="preserve"> </w:t>
      </w:r>
      <w:r>
        <w:t xml:space="preserve">2026 guidance already implies roughly</w:t>
      </w:r>
      <w:r>
        <w:t xml:space="preserve"> </w:t>
      </w:r>
      <w:r>
        <w:rPr>
          <w:b/>
          <w:bCs/>
        </w:rPr>
        <w:t xml:space="preserve">7% growth</w:t>
      </w:r>
      <w:r>
        <w:t xml:space="preserve"> </w:t>
      </w:r>
      <w:r>
        <w:t xml:space="preserve">at the midpoint versus 2025; rate-base investment and higher utility margins are progressing; nuclear energy and capacity pricing are above the production-tax-credit threshold; and approximately</w:t>
      </w:r>
      <w:r>
        <w:t xml:space="preserve"> </w:t>
      </w:r>
      <w:r>
        <w:rPr>
          <w:b/>
          <w:bCs/>
        </w:rPr>
        <w:t xml:space="preserve">95% of expected 2026 nuclear output is hedged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Potential pressure points:</w:t>
      </w:r>
      <w:r>
        <w:t xml:space="preserve"> </w:t>
      </w:r>
      <w:r>
        <w:t xml:space="preserve">higher interest and depreciation expense, regulatory scrutiny around New Jersey customer affordability, and the effect of the</w:t>
      </w:r>
      <w:r>
        <w:t xml:space="preserve"> </w:t>
      </w:r>
      <w:r>
        <w:rPr>
          <w:b/>
          <w:bCs/>
        </w:rPr>
        <w:t xml:space="preserve">Salem Unit 2 spring refueling outage</w:t>
      </w:r>
      <w:r>
        <w:t xml:space="preserve"> </w:t>
      </w:r>
      <w:r>
        <w:t xml:space="preserve">on nuclear generation and PSEG Power earnings.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Key investor focus:</w:t>
      </w:r>
      <w:r>
        <w:t xml:space="preserve"> </w:t>
      </w:r>
      <w:r>
        <w:t xml:space="preserve">the trajectory of regulated CapEx and rate base, nuclear output/hedging, PJM capacity-market developments, and the probability of incremental load or contracted-generation opportunities beyond the formal plan.</w:t>
      </w:r>
    </w:p>
    <w:p>
      <w:r>
        <w:pict>
          <v:rect style="width:0;height:1.5pt" o:hralign="center" o:hrstd="t" o:hr="t"/>
        </w:pict>
      </w:r>
    </w:p>
    <w:bookmarkEnd w:id="9"/>
    <w:bookmarkStart w:id="11" w:name="what-investors-should-expect"/>
    <w:p>
      <w:pPr>
        <w:pStyle w:val="Heading2"/>
      </w:pPr>
      <w:r>
        <w:t xml:space="preserve">What investors should expect</w:t>
      </w:r>
    </w:p>
    <w:bookmarkStart w:id="10" w:name="earnings-benchmark"/>
    <w:p>
      <w:pPr>
        <w:pStyle w:val="Heading3"/>
      </w:pPr>
      <w:r>
        <w:t xml:space="preserve">Earnings benchmark</w:t>
      </w:r>
    </w:p>
    <w:p>
      <w:pPr>
        <w:pStyle w:val="FirstParagraph"/>
      </w:pPr>
      <w:r>
        <w:t xml:space="preserve">PSEG reported</w:t>
      </w:r>
      <w:r>
        <w:t xml:space="preserve"> </w:t>
      </w:r>
      <w:r>
        <w:rPr>
          <w:b/>
          <w:bCs/>
        </w:rPr>
        <w:t xml:space="preserve">Q1 2026 operating EPS of $1.55</w:t>
      </w:r>
      <w:r>
        <w:t xml:space="preserve">, up from</w:t>
      </w:r>
      <w:r>
        <w:t xml:space="preserve"> </w:t>
      </w:r>
      <m:oMath>
        <m:r>
          <m:t>1.43</m:t>
        </m:r>
        <m:r>
          <m:t>i</m:t>
        </m:r>
        <m:r>
          <m:t>n</m:t>
        </m:r>
        <m:r>
          <m:t>Q</m:t>
        </m:r>
        <m:r>
          <m:t>1</m:t>
        </m:r>
        <m:r>
          <m:t>2025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m</m:t>
        </m:r>
        <m:r>
          <m:t>a</m:t>
        </m:r>
        <m:r>
          <m:t>i</m:t>
        </m:r>
        <m:r>
          <m:t>n</m:t>
        </m:r>
        <m:r>
          <m:t>t</m:t>
        </m:r>
        <m:r>
          <m:t>a</m:t>
        </m:r>
        <m:r>
          <m:t>i</m:t>
        </m:r>
        <m:r>
          <m:t>n</m:t>
        </m:r>
        <m:r>
          <m:t>e</m:t>
        </m:r>
        <m:r>
          <m:t>d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2026</m:t>
        </m:r>
        <m:r>
          <m:t>o</m:t>
        </m:r>
        <m:r>
          <m:t>p</m:t>
        </m:r>
        <m:r>
          <m:t>e</m:t>
        </m:r>
        <m:r>
          <m:t>r</m:t>
        </m:r>
        <m:r>
          <m:t>a</m:t>
        </m:r>
        <m:r>
          <m:t>t</m:t>
        </m:r>
        <m:r>
          <m:t>i</m:t>
        </m:r>
        <m:r>
          <m:t>n</m:t>
        </m:r>
        <m:r>
          <m:t>g</m:t>
        </m:r>
        <m:r>
          <m:rPr>
            <m:sty m:val="p"/>
          </m:rPr>
          <m:t>−</m:t>
        </m:r>
        <m:r>
          <m:t>E</m:t>
        </m:r>
        <m:r>
          <m:t>P</m:t>
        </m:r>
        <m:r>
          <m:t>S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t>o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4.28–$4.40**.</w:t>
      </w:r>
    </w:p>
    <w:p>
      <w:pPr>
        <w:pStyle w:val="BodyText"/>
      </w:pPr>
      <w:r>
        <w:t xml:space="preserve">At the $4.34 midpoint, Q1 represented about</w:t>
      </w:r>
      <w:r>
        <w:t xml:space="preserve"> </w:t>
      </w:r>
      <w:r>
        <w:rPr>
          <w:b/>
          <w:bCs/>
        </w:rPr>
        <w:t xml:space="preserve">36% of the full-year plan</w:t>
      </w:r>
      <w:r>
        <w:t xml:space="preserve">. That is a solid start, but management explicitly characterized the annual earnings pattern as more weighted to winter and summer conditions. The key result from Q2 is therefore likely to be the</w:t>
      </w:r>
      <w:r>
        <w:t xml:space="preserve"> </w:t>
      </w:r>
      <w:r>
        <w:rPr>
          <w:b/>
          <w:bCs/>
        </w:rPr>
        <w:t xml:space="preserve">quality of the full-year reaffirmation</w:t>
      </w:r>
      <w:r>
        <w:t xml:space="preserve">, rather than simply the year-over-year EPS comparison.</w:t>
      </w:r>
    </w:p>
    <w:p>
      <w:pPr>
        <w:pStyle w:val="BodyText"/>
      </w:pPr>
      <w:r>
        <w:t xml:space="preserve">For context, in</w:t>
      </w:r>
      <w:r>
        <w:t xml:space="preserve"> </w:t>
      </w:r>
      <w:r>
        <w:rPr>
          <w:b/>
          <w:bCs/>
        </w:rPr>
        <w:t xml:space="preserve">Q2 2025</w:t>
      </w:r>
      <w:r>
        <w:t xml:space="preserve">, PSEG earned: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2025</w:t>
            </w:r>
          </w:p>
        </w:tc>
      </w:tr>
      <w:tr>
        <w:tc>
          <w:tcPr/>
          <w:p>
            <w:pPr>
              <w:pStyle w:val="Compact"/>
            </w:pPr>
            <w:r>
              <w:t xml:space="preserve">GAAP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$1.17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EPS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$0.77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PSE&amp;G operating earnings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$332M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PSEG Power &amp; Other operating earnings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$52M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Nuclear generation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7.5 TWh</w:t>
            </w:r>
          </w:p>
        </w:tc>
      </w:tr>
    </w:tbl>
    <w:p>
      <w:pPr>
        <w:pStyle w:val="BodyText"/>
      </w:pPr>
      <w:r>
        <w:t xml:space="preserve">The low reported operating contribution from Power in Q2 2025 illustrates why headline quarterly EPS can be volatile and why investors should focus on the utility/PSEG Power bridge and the full-year outlook.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6" w:name="the-four-issues-that-matter-most"/>
    <w:p>
      <w:pPr>
        <w:pStyle w:val="Heading2"/>
      </w:pPr>
      <w:r>
        <w:t xml:space="preserve">The four issues that matter most</w:t>
      </w:r>
    </w:p>
    <w:bookmarkStart w:id="12" w:name="X86633268f693cfd5a9d2cc42b679b2f9fa1ec4a"/>
    <w:p>
      <w:pPr>
        <w:pStyle w:val="Heading3"/>
      </w:pPr>
      <w:r>
        <w:t xml:space="preserve">1. Can PSE&amp;G sustain its regulated-growth engine?</w:t>
      </w:r>
    </w:p>
    <w:p>
      <w:pPr>
        <w:pStyle w:val="FirstParagraph"/>
      </w:pPr>
      <w:r>
        <w:t xml:space="preserve">The regulated utility is the core of PEG’s investment case. PSE&amp;G delivered</w:t>
      </w:r>
      <w:r>
        <w:t xml:space="preserve"> </w:t>
      </w:r>
      <w:r>
        <w:rPr>
          <w:b/>
          <w:bCs/>
        </w:rPr>
        <w:t xml:space="preserve">$577 million</w:t>
      </w:r>
      <w:r>
        <w:t xml:space="preserve"> </w:t>
      </w:r>
      <w:r>
        <w:t xml:space="preserve">of operating earnings in Q1, up $31 million year over year, driven primarily by distribution margin, transmission investment, energy-efficiency investment, gas-system modernization, and customer growth.</w:t>
      </w:r>
    </w:p>
    <w:p>
      <w:pPr>
        <w:pStyle w:val="BodyText"/>
      </w:pPr>
      <w:r>
        <w:t xml:space="preserve">For 2026, PSEG plans approximately</w:t>
      </w:r>
      <w:r>
        <w:t xml:space="preserve"> </w:t>
      </w:r>
      <w:r>
        <w:rPr>
          <w:b/>
          <w:bCs/>
        </w:rPr>
        <w:t xml:space="preserve">$4.2 billion</w:t>
      </w:r>
      <w:r>
        <w:t xml:space="preserve"> </w:t>
      </w:r>
      <w:r>
        <w:t xml:space="preserve">of regulated capital spending. Its 2026–2030 plan calls for:</w:t>
      </w:r>
    </w:p>
    <w:p>
      <w:pPr>
        <w:pStyle w:val="Compact"/>
        <w:numPr>
          <w:ilvl w:val="0"/>
          <w:numId w:val="1002"/>
        </w:numPr>
      </w:pPr>
      <m:oMath>
        <m:r>
          <m:t>22.5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25.5B</w:t>
      </w:r>
      <w:r>
        <w:t xml:space="preserve"> </w:t>
      </w:r>
      <w:r>
        <w:t xml:space="preserve">of regulated PSE&amp;G investment;</w:t>
      </w:r>
    </w:p>
    <w:p>
      <w:pPr>
        <w:pStyle w:val="Compact"/>
        <w:numPr>
          <w:ilvl w:val="0"/>
          <w:numId w:val="1002"/>
        </w:numPr>
      </w:pPr>
      <m:oMath>
        <m:r>
          <m:t>24</m:t>
        </m:r>
        <m:r>
          <m:t>B</m:t>
        </m:r>
        <m:r>
          <m:rPr>
            <m:sty m:val="p"/>
          </m:rPr>
          <m:t>–</m:t>
        </m:r>
      </m:oMath>
      <w:r>
        <w:rPr>
          <w:b/>
          <w:bCs/>
        </w:rPr>
        <w:t xml:space="preserve">28B</w:t>
      </w:r>
      <w:r>
        <w:t xml:space="preserve"> </w:t>
      </w:r>
      <w:r>
        <w:t xml:space="preserve">of total PSEG capital deployment;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6%–7.5% rate-base CAGR</w:t>
      </w:r>
      <w:r>
        <w:t xml:space="preserve">; and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6%–8% operating-EPS CAGR through 2030</w:t>
      </w:r>
      <w:r>
        <w:t xml:space="preserve">.</w:t>
      </w:r>
    </w:p>
    <w:p>
      <w:pPr>
        <w:pStyle w:val="FirstParagraph"/>
      </w:pPr>
      <w:r>
        <w:t xml:space="preserve">Q2 should provide a useful check on execution: whether spend remains on budget, whether the newly commenced</w:t>
      </w:r>
      <w:r>
        <w:t xml:space="preserve"> </w:t>
      </w:r>
      <w:r>
        <w:rPr>
          <w:b/>
          <w:bCs/>
        </w:rPr>
        <w:t xml:space="preserve">$1.4 billion GSMP III</w:t>
      </w:r>
      <w:r>
        <w:t xml:space="preserve"> </w:t>
      </w:r>
      <w:r>
        <w:t xml:space="preserve">program is progressing as planned, and whether customer/load growth continues to support the investment outlook.</w:t>
      </w:r>
    </w:p>
    <w:p>
      <w:pPr>
        <w:pStyle w:val="BodyText"/>
      </w:pPr>
      <w:r>
        <w:rPr>
          <w:b/>
          <w:bCs/>
        </w:rPr>
        <w:t xml:space="preserve">What would be positive:</w:t>
      </w:r>
      <w:r>
        <w:t xml:space="preserve"> </w:t>
      </w:r>
      <w:r>
        <w:t xml:space="preserve">reaffirmation of the $4.2B CapEx plan, no cost or permitting issues, and evidence that transmission, electrification, and energy-efficiency investments continue to translate into margin growth.</w:t>
      </w:r>
    </w:p>
    <w:p>
      <w:pPr>
        <w:pStyle w:val="BodyText"/>
      </w:pPr>
      <w:r>
        <w:rPr>
          <w:b/>
          <w:bCs/>
        </w:rPr>
        <w:t xml:space="preserve">What would concern investors:</w:t>
      </w:r>
      <w:r>
        <w:t xml:space="preserve"> </w:t>
      </w:r>
      <w:r>
        <w:t xml:space="preserve">any indication that New Jersey affordability pressure could delay projects, lower returns, constrain the capital plan, or change the utility-business model in a way that weakens rate-base compounding.</w:t>
      </w:r>
    </w:p>
    <w:p>
      <w:r>
        <w:pict>
          <v:rect style="width:0;height:1.5pt" o:hralign="center" o:hrstd="t" o:hr="t"/>
        </w:pict>
      </w:r>
    </w:p>
    <w:bookmarkEnd w:id="12"/>
    <w:bookmarkStart w:id="13" w:name="X370e4d9112531ce5298cffedef30a73109c28e0"/>
    <w:p>
      <w:pPr>
        <w:pStyle w:val="Heading3"/>
      </w:pPr>
      <w:r>
        <w:t xml:space="preserve">2. Nuclear execution will determine the texture of PSEG Power results</w:t>
      </w:r>
    </w:p>
    <w:p>
      <w:pPr>
        <w:pStyle w:val="FirstParagraph"/>
      </w:pPr>
      <w:r>
        <w:t xml:space="preserve">PSEG Power has become a more important source of upside as nuclear economics improve. The company’s Q1 Power &amp; Other operating earnings increased to</w:t>
      </w:r>
      <w:r>
        <w:t xml:space="preserve"> </w:t>
      </w:r>
      <w:r>
        <w:rPr>
          <w:b/>
          <w:bCs/>
        </w:rPr>
        <w:t xml:space="preserve">$201 million</w:t>
      </w:r>
      <w:r>
        <w:t xml:space="preserve">, despite the absence of the prior zero-emission-credit program, as higher gas-operations and capacity revenue and lower O&amp;M offset lower generation volume.</w:t>
      </w:r>
    </w:p>
    <w:p>
      <w:pPr>
        <w:pStyle w:val="BodyText"/>
      </w:pPr>
      <w:r>
        <w:t xml:space="preserve">For Q2, investors should watch nuclear output closely: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Salem Unit 2 began its scheduled refueling outage in April</w:t>
      </w:r>
      <w:r>
        <w:t xml:space="preserve">, creating a likely quarter-specific generation headwind.</w:t>
      </w:r>
    </w:p>
    <w:p>
      <w:pPr>
        <w:pStyle w:val="Compact"/>
        <w:numPr>
          <w:ilvl w:val="0"/>
          <w:numId w:val="1003"/>
        </w:numPr>
      </w:pPr>
      <w:r>
        <w:t xml:space="preserve">PSEG forecasts</w:t>
      </w:r>
      <w:r>
        <w:t xml:space="preserve"> </w:t>
      </w:r>
      <w:r>
        <w:rPr>
          <w:b/>
          <w:bCs/>
        </w:rPr>
        <w:t xml:space="preserve">30–32 TWh</w:t>
      </w:r>
      <w:r>
        <w:t xml:space="preserve"> </w:t>
      </w:r>
      <w:r>
        <w:t xml:space="preserve">of nuclear output for 2026.</w:t>
      </w:r>
    </w:p>
    <w:p>
      <w:pPr>
        <w:pStyle w:val="Compact"/>
        <w:numPr>
          <w:ilvl w:val="0"/>
          <w:numId w:val="1003"/>
        </w:numPr>
      </w:pPr>
      <w:r>
        <w:t xml:space="preserve">It has hedged approximately</w:t>
      </w:r>
      <w:r>
        <w:t xml:space="preserve"> </w:t>
      </w:r>
      <w:r>
        <w:rPr>
          <w:b/>
          <w:bCs/>
        </w:rPr>
        <w:t xml:space="preserve">95%</w:t>
      </w:r>
      <w:r>
        <w:t xml:space="preserve"> </w:t>
      </w:r>
      <w:r>
        <w:t xml:space="preserve">of expected 2026 output, which reduces near-term commodity-price variability.</w:t>
      </w:r>
    </w:p>
    <w:p>
      <w:pPr>
        <w:pStyle w:val="Compact"/>
        <w:numPr>
          <w:ilvl w:val="0"/>
          <w:numId w:val="1003"/>
        </w:numPr>
      </w:pPr>
      <w:r>
        <w:t xml:space="preserve">PSEG expects market energy and capacity prices to remain above the nuclear PTC threshold, supporting earnings durability.</w:t>
      </w:r>
    </w:p>
    <w:p>
      <w:pPr>
        <w:pStyle w:val="FirstParagraph"/>
      </w:pPr>
      <w:r>
        <w:t xml:space="preserve">The comparison is nuanced. Q2 2025 nuclear generation was strong at 7.5 TWh, helped by the absence of a Hope Creek refueling outage that had affected the prior-year period. This year’s Salem Unit 2 outage could make generation a more visible issue, even if the full-year plan remains intact.</w:t>
      </w:r>
    </w:p>
    <w:p>
      <w:pPr>
        <w:pStyle w:val="BodyText"/>
      </w:pPr>
      <w:r>
        <w:rPr>
          <w:b/>
          <w:bCs/>
        </w:rPr>
        <w:t xml:space="preserve">What would be positive:</w:t>
      </w:r>
      <w:r>
        <w:t xml:space="preserve"> </w:t>
      </w:r>
      <w:r>
        <w:t xml:space="preserve">outage execution in line with schedule and budget, maintained 30–32 TWh annual output guidance, and stable commentary on realized pricing, hedges, and nuclear O&amp;M.</w:t>
      </w:r>
    </w:p>
    <w:p>
      <w:pPr>
        <w:pStyle w:val="BodyText"/>
      </w:pPr>
      <w:r>
        <w:rPr>
          <w:b/>
          <w:bCs/>
        </w:rPr>
        <w:t xml:space="preserve">What would concern investors:</w:t>
      </w:r>
      <w:r>
        <w:t xml:space="preserve"> </w:t>
      </w:r>
      <w:r>
        <w:t xml:space="preserve">an extended outage, a cut to annual generation expectations, higher outage costs, or weaker-than-expected Power economics after accounting for the loss of ZEC revenue.</w:t>
      </w:r>
    </w:p>
    <w:p>
      <w:r>
        <w:pict>
          <v:rect style="width:0;height:1.5pt" o:hralign="center" o:hrstd="t" o:hr="t"/>
        </w:pict>
      </w:r>
    </w:p>
    <w:bookmarkEnd w:id="13"/>
    <w:bookmarkStart w:id="14" w:name="X744eb4497b5088b0f07e9f20bc1952eb5134144"/>
    <w:p>
      <w:pPr>
        <w:pStyle w:val="Heading3"/>
      </w:pPr>
      <w:r>
        <w:t xml:space="preserve">3. Guidance matters more than the quarter—and a raise is not the base case</w:t>
      </w:r>
    </w:p>
    <w:p>
      <w:pPr>
        <w:pStyle w:val="FirstParagraph"/>
      </w:pPr>
      <w:r>
        <w:t xml:space="preserve">PSEG’s Q1 result was strong, but management did not raise its</w:t>
      </w:r>
      <w:r>
        <w:t xml:space="preserve"> </w:t>
      </w:r>
      <m:oMath>
        <m:r>
          <m:t>4.28</m:t>
        </m:r>
        <m:r>
          <m:rPr>
            <m:sty m:val="p"/>
          </m:rPr>
          <m:t>–</m:t>
        </m:r>
      </m:oMath>
      <w:r>
        <w:t xml:space="preserve">4.40 range. At the time, management suggested that getting through the summer would provide more visibility on the full year.</w:t>
      </w:r>
    </w:p>
    <w:p>
      <w:pPr>
        <w:pStyle w:val="BodyText"/>
      </w:pPr>
      <w:r>
        <w:t xml:space="preserve">That makes a</w:t>
      </w:r>
      <w:r>
        <w:t xml:space="preserve"> </w:t>
      </w:r>
      <w:r>
        <w:rPr>
          <w:b/>
          <w:bCs/>
        </w:rPr>
        <w:t xml:space="preserve">guidance reaffirmation</w:t>
      </w:r>
      <w:r>
        <w:t xml:space="preserve"> </w:t>
      </w:r>
      <w:r>
        <w:t xml:space="preserve">the most likely constructive outcome for Q2. A raise would be a stronger signal, but investors should not assume it: PSEG has higher interest and depreciation costs embedded in its outlook, and nuclear outage execution plus summer operating conditions can still influence results.</w:t>
      </w:r>
    </w:p>
    <w:p>
      <w:pPr>
        <w:pStyle w:val="BodyText"/>
      </w:pPr>
      <w:r>
        <w:t xml:space="preserve">The 2026 outlook is underpinned by:</w:t>
      </w:r>
    </w:p>
    <w:p>
      <w:pPr>
        <w:pStyle w:val="Compact"/>
        <w:numPr>
          <w:ilvl w:val="0"/>
          <w:numId w:val="1004"/>
        </w:numPr>
      </w:pPr>
      <w:r>
        <w:t xml:space="preserve">Higher regulated rate base and utility margin;</w:t>
      </w:r>
    </w:p>
    <w:p>
      <w:pPr>
        <w:pStyle w:val="Compact"/>
        <w:numPr>
          <w:ilvl w:val="0"/>
          <w:numId w:val="1004"/>
        </w:numPr>
      </w:pPr>
      <w:r>
        <w:t xml:space="preserve">Higher transmission and energy-efficiency contribution;</w:t>
      </w:r>
    </w:p>
    <w:p>
      <w:pPr>
        <w:pStyle w:val="Compact"/>
        <w:numPr>
          <w:ilvl w:val="0"/>
          <w:numId w:val="1004"/>
        </w:numPr>
      </w:pPr>
      <w:r>
        <w:t xml:space="preserve">Nuclear energy/capacity economics above the PTC threshold;</w:t>
      </w:r>
    </w:p>
    <w:p>
      <w:pPr>
        <w:pStyle w:val="Compact"/>
        <w:numPr>
          <w:ilvl w:val="0"/>
          <w:numId w:val="1004"/>
        </w:numPr>
      </w:pPr>
      <w:r>
        <w:t xml:space="preserve">Offset by higher financing costs and depreciation from the capital program.</w:t>
      </w:r>
    </w:p>
    <w:p>
      <w:pPr>
        <w:pStyle w:val="FirstParagraph"/>
      </w:pPr>
      <w:r>
        <w:rPr>
          <w:b/>
          <w:bCs/>
        </w:rPr>
        <w:t xml:space="preserve">Read-through:</w:t>
      </w:r>
      <w:r>
        <w:t xml:space="preserve"> </w:t>
      </w:r>
      <w:r>
        <w:t xml:space="preserve">Maintaining the range with a confident message on the back-half setup should be adequate. Narrowing to the upper half or raising guidance would likely require clear evidence that nuclear, utility O&amp;M, and financing costs are all tracking favorably.</w:t>
      </w:r>
    </w:p>
    <w:p>
      <w:r>
        <w:pict>
          <v:rect style="width:0;height:1.5pt" o:hralign="center" o:hrstd="t" o:hr="t"/>
        </w:pict>
      </w:r>
    </w:p>
    <w:bookmarkEnd w:id="14"/>
    <w:bookmarkStart w:id="15" w:name="X7b7ad174aedc2aa29f9cd79c01c46d2b92ae26e"/>
    <w:p>
      <w:pPr>
        <w:pStyle w:val="Heading3"/>
      </w:pPr>
      <w:r>
        <w:t xml:space="preserve">4. Regulatory and PJM developments are the valuation swing factors</w:t>
      </w:r>
    </w:p>
    <w:p>
      <w:pPr>
        <w:pStyle w:val="FirstParagraph"/>
      </w:pPr>
      <w:r>
        <w:t xml:space="preserve">PSEG’s core plan does not require speculative outcomes. But the stock’s long-term upside increasingly depends on what happens around PJM resource adequacy, large load growth, transmission, and potential nuclear contracting.</w:t>
      </w:r>
    </w:p>
    <w:p>
      <w:pPr>
        <w:pStyle w:val="BodyText"/>
      </w:pPr>
      <w:r>
        <w:t xml:space="preserve">The major topics to listen for are: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New Jersey affordability and utility-business-model review.</w:t>
      </w:r>
      <w:r>
        <w:t xml:space="preserve"> </w:t>
      </w:r>
      <w:r>
        <w:t xml:space="preserve">Management has been constructive and argues that PSE&amp;G’s reliability, customer satisfaction, and interconnection performance should compare well under more performance-based regulation. Still, political focus on bills could create regulatory uncertainty.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PJM capacity and resource adequacy.</w:t>
      </w:r>
      <w:r>
        <w:t xml:space="preserve"> </w:t>
      </w:r>
      <w:r>
        <w:t xml:space="preserve">PSEG has emphasized that regional demand growth is more visible than incremental supply. Its nuclear fleet cleared approximately</w:t>
      </w:r>
      <w:r>
        <w:t xml:space="preserve"> </w:t>
      </w:r>
      <w:r>
        <w:rPr>
          <w:b/>
          <w:bCs/>
        </w:rPr>
        <w:t xml:space="preserve">3,500 MW</w:t>
      </w:r>
      <w:r>
        <w:t xml:space="preserve"> </w:t>
      </w:r>
      <w:r>
        <w:t xml:space="preserve">in the June 2026–May 2027 auction at</w:t>
      </w:r>
      <w:r>
        <w:t xml:space="preserve"> </w:t>
      </w:r>
      <w:r>
        <w:rPr>
          <w:b/>
          <w:bCs/>
        </w:rPr>
        <w:t xml:space="preserve">$329/MW-day</w:t>
      </w:r>
      <w:r>
        <w:t xml:space="preserve">, a material improvement from prior capacity economics.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Large-load/data-center opportunities.</w:t>
      </w:r>
      <w:r>
        <w:t xml:space="preserve"> </w:t>
      </w:r>
      <w:r>
        <w:t xml:space="preserve">Management previously cited roughly</w:t>
      </w:r>
      <w:r>
        <w:t xml:space="preserve"> </w:t>
      </w:r>
      <w:r>
        <w:rPr>
          <w:b/>
          <w:bCs/>
        </w:rPr>
        <w:t xml:space="preserve">11.8 GW</w:t>
      </w:r>
      <w:r>
        <w:t xml:space="preserve"> </w:t>
      </w:r>
      <w:r>
        <w:t xml:space="preserve">of large-load inquiries, while cautioning that only a minority historically converts to actual load. Meaningful conversion would improve customer growth and potentially spread fixed costs, but it is not embedded as a near-term certainty.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Incremental transmission or utility-like generation.</w:t>
      </w:r>
      <w:r>
        <w:t xml:space="preserve"> </w:t>
      </w:r>
      <w:r>
        <w:t xml:space="preserve">PSEG has indicated interest in rate-based or long-term contracted opportunities—not merchant market exposure. Any tangible project wins would be upside to the current capital plan.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New nuclear optionality.</w:t>
      </w:r>
      <w:r>
        <w:t xml:space="preserve"> </w:t>
      </w:r>
      <w:r>
        <w:t xml:space="preserve">PSEG views its Salem site as well positioned for future development, but this remains a long-dated option requiring federal support, state alignment, workable permitting, and credible offtake arrangements.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17" w:name="stock-setup"/>
    <w:p>
      <w:pPr>
        <w:pStyle w:val="Heading2"/>
      </w:pPr>
      <w:r>
        <w:t xml:space="preserve">Stock setup</w:t>
      </w:r>
    </w:p>
    <w:p>
      <w:pPr>
        <w:pStyle w:val="FirstParagraph"/>
      </w:pPr>
      <w:r>
        <w:t xml:space="preserve">PEG closed at</w:t>
      </w:r>
      <w:r>
        <w:t xml:space="preserve"> </w:t>
      </w:r>
      <w:r>
        <w:rPr>
          <w:b/>
          <w:bCs/>
        </w:rPr>
        <w:t xml:space="preserve">$76.64 on August 3</w:t>
      </w:r>
      <w:r>
        <w:t xml:space="preserve">, down approximately: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3.9%</w:t>
      </w:r>
      <w:r>
        <w:t xml:space="preserve"> </w:t>
      </w:r>
      <w:r>
        <w:t xml:space="preserve">from $79.73 immediately before its May 5 Q1 release;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8.3%</w:t>
      </w:r>
      <w:r>
        <w:t xml:space="preserve"> </w:t>
      </w:r>
      <w:r>
        <w:t xml:space="preserve">from its June 26 recent high of $83.58.</w:t>
      </w:r>
    </w:p>
    <w:p>
      <w:pPr>
        <w:pStyle w:val="FirstParagraph"/>
      </w:pPr>
      <w:r>
        <w:t xml:space="preserve">The recent weakness suggests the market is looking for confirmation that the company’s regulated-growth narrative remains intact amid rising financing costs, policy uncertainty, and broader concerns about utility affordability. A routine quarterly beat without stronger commentary on guidance, capital execution, or nuclear economics may therefore produce a muted reaction.</w:t>
      </w:r>
    </w:p>
    <w:p>
      <w:pPr>
        <w:pStyle w:val="BodyText"/>
      </w:pPr>
      <w:r>
        <w:t xml:space="preserve">Conversely, a reaffirmation paired with clean nuclear outage execution, disciplined financing commentary, and visible regulatory progress could support a more favorable response.</w:t>
      </w:r>
    </w:p>
    <w:p>
      <w:r>
        <w:pict>
          <v:rect style="width:0;height:1.5pt" o:hralign="center" o:hrstd="t" o:hr="t"/>
        </w:pict>
      </w:r>
    </w:p>
    <w:bookmarkEnd w:id="17"/>
    <w:bookmarkStart w:id="18" w:name="key-questions-for-management"/>
    <w:p>
      <w:pPr>
        <w:pStyle w:val="Heading2"/>
      </w:pPr>
      <w:r>
        <w:t xml:space="preserve">Key questions for management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Is the</w:t>
      </w:r>
      <w:r>
        <w:rPr>
          <w:b/>
          <w:bCs/>
        </w:rPr>
        <w:t xml:space="preserve"> </w:t>
      </w:r>
      <m:oMath>
        <m:r>
          <m:t>4.28</m:t>
        </m:r>
        <m:r>
          <m:rPr>
            <m:sty m:val="p"/>
          </m:rPr>
          <m:t>–</m:t>
        </m:r>
      </m:oMath>
      <w:r>
        <w:rPr>
          <w:b/>
          <w:bCs/>
        </w:rPr>
        <w:t xml:space="preserve">4.40 operating-EPS range unchanged, and where does management place itself within the range after Q2?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How did the Salem Unit 2 refueling outage affect Q2 generation, cost, and the 2026 30–32 TWh nuclear outlook?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Is the $4.2B regulated 2026 CapEx budget still on schedule and on budget?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What has changed in the New Jersey BPU process on affordability and the utility business model?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Are there updates on large-load inquiries, interconnection timing, or actual conversion into committed customer load?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How is PSEG thinking about PJM’s evolving capacity/reliability framework and its potential role in utility-like generation or transmission solutions?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Has the expected trajectory for interest expense, credit metrics, or external financing changed?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Is there new visibility on nuclear contracting, Salem uprates, license-extension work, or new-nuclear development?</w:t>
      </w:r>
    </w:p>
    <w:p>
      <w:r>
        <w:pict>
          <v:rect style="width:0;height:1.5pt" o:hralign="center" o:hrstd="t" o:hr="t"/>
        </w:pict>
      </w:r>
    </w:p>
    <w:bookmarkEnd w:id="18"/>
    <w:bookmarkStart w:id="20" w:name="investment-view-into-the-print"/>
    <w:p>
      <w:pPr>
        <w:pStyle w:val="Heading2"/>
      </w:pPr>
      <w:r>
        <w:t xml:space="preserve">Investment view into the print</w:t>
      </w:r>
    </w:p>
    <w:p>
      <w:pPr>
        <w:pStyle w:val="FirstParagraph"/>
      </w:pPr>
      <w:r>
        <w:rPr>
          <w:b/>
          <w:bCs/>
        </w:rPr>
        <w:t xml:space="preserve">Constructive, but focused on execution rather than a dramatic earnings catalyst.</w:t>
      </w:r>
      <w:r>
        <w:t xml:space="preserve"> </w:t>
      </w:r>
      <w:r>
        <w:t xml:space="preserve">PSEG offers a relatively defensive regulated-utility foundation supplemented by improving nuclear capacity and energy economics. The immediate report should validate whether management can convert a strong Q1 into continued full-year confidence despite a nuclear outage quarter and heightened regulatory attention.</w:t>
      </w:r>
    </w:p>
    <w:p>
      <w:pPr>
        <w:pStyle w:val="BodyText"/>
      </w:pPr>
      <w:r>
        <w:t xml:space="preserve">The best outcome is straightforward:</w:t>
      </w:r>
      <w:r>
        <w:t xml:space="preserve"> </w:t>
      </w:r>
      <w:r>
        <w:rPr>
          <w:b/>
          <w:bCs/>
        </w:rPr>
        <w:t xml:space="preserve">guidance maintained or improved, utility CapEx reaffirmed, Salem Unit 2 outage progressing cleanly, and no deterioration in the company’s regulatory or financing outlook.</w:t>
      </w:r>
      <w:r>
        <w:t xml:space="preserve"> </w:t>
      </w:r>
      <w:r>
        <w:t xml:space="preserve">The principal downside risk is not necessarily a weak quarter in isolation; it is any signal that affordability-driven regulation, outage execution, or higher capital costs could compromise the company’s 6%–8% long-term operating-EPS growth framework.</w:t>
      </w:r>
    </w:p>
    <w:bookmarkStart w:id="19" w:name="source-materials-reviewed"/>
    <w:p>
      <w:pPr>
        <w:pStyle w:val="Heading3"/>
      </w:pPr>
      <w:r>
        <w:t xml:space="preserve">Source materials reviewed</w:t>
      </w:r>
    </w:p>
    <w:p>
      <w:pPr>
        <w:pStyle w:val="Compact"/>
        <w:numPr>
          <w:ilvl w:val="0"/>
          <w:numId w:val="1008"/>
        </w:numPr>
      </w:pPr>
      <w:r>
        <w:t xml:space="preserve">PSEG Q1 2026 earnings release, earnings presentation, and conference-call transcript — May 5, 2026.</w:t>
      </w:r>
    </w:p>
    <w:p>
      <w:pPr>
        <w:pStyle w:val="Compact"/>
        <w:numPr>
          <w:ilvl w:val="0"/>
          <w:numId w:val="1008"/>
        </w:numPr>
      </w:pPr>
      <w:r>
        <w:t xml:space="preserve">PSEG Q2 2025 earnings release — August 5, 2025.</w:t>
      </w:r>
    </w:p>
    <w:p>
      <w:pPr>
        <w:pStyle w:val="Compact"/>
        <w:numPr>
          <w:ilvl w:val="0"/>
          <w:numId w:val="1008"/>
        </w:numPr>
      </w:pPr>
      <w:r>
        <w:t xml:space="preserve">PSEG July 1, 2026 Form 8-K regarding updated investor materials.</w:t>
      </w:r>
    </w:p>
    <w:p>
      <w:pPr>
        <w:pStyle w:val="Compact"/>
        <w:numPr>
          <w:ilvl w:val="0"/>
          <w:numId w:val="1008"/>
        </w:numPr>
      </w:pPr>
      <w:r>
        <w:t xml:space="preserve">PEG historical closing-price data through August 3, 2026.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2026-08-04T01:09:48Z</dcterms:created>
  <dcterms:modified xsi:type="dcterms:W3CDTF">2026-08-04T01:09:48Z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