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fe-earnings-predictions--2026-08-04"/>
    <w:p>
      <w:pPr>
        <w:pStyle w:val="Heading1"/>
      </w:pPr>
      <w:r>
        <w:t xml:space="preserve">PFE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~$0.70 vs. cons $0.68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~$14.2B vs. cons $14.4B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COVID franchise revenue (Comirnaty + Paxlovid)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~$0.9B vs. cons $1.1B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~$59.5-62.5B (midpoint $61.0B) vs. cons $61.0B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~$2.80-3.00 (midpoint $2.90) vs. cons $2.96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Cumulative LOE revenue impact through 2028 (post-Vyndamax settlement)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 </m:t>
              </m:r>
            </m:oMath>
            <w:r>
              <w:t xml:space="preserve">17B (2026-2028 cumulative)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An EPS beat is likely low-quality (cost controls/below-the-line) against a soft COVID-driven revenue miss, while FY26 guidance is only reaffirmed (not raised) for a third straight quarter, forcing sell-side to trim H2 COVID and top-line assumptions even after the headline beat. With no fresh catalyst to counter the SigVie-002 oncology overhang, HSBC-style caution, and a lame-duck CFO on the call, negative revisions to out-period numbers likely compound the initial reaction rather than reverse it, pulling the stock lower over the following days before dividend yield/valuation support limits further downside.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2026-08-04T01:06:32Z</dcterms:created>
  <dcterms:modified xsi:type="dcterms:W3CDTF">2026-08-04T01:06:32Z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