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pfizer-pfe-q2-2026-earnings-preview"/>
    <w:p>
      <w:pPr>
        <w:pStyle w:val="Heading1"/>
      </w:pPr>
      <w:r>
        <w:t xml:space="preserve">Pfizer (PFE) Q2 2026 Earnings Preview</w:t>
      </w:r>
    </w:p>
    <w:p>
      <w:pPr>
        <w:pStyle w:val="BlockText"/>
      </w:pPr>
      <w:r>
        <w:rPr>
          <w:b/>
          <w:bCs/>
        </w:rPr>
        <w:t xml:space="preserve">Timing note:</w:t>
      </w:r>
      <w:r>
        <w:t xml:space="preserve"> </w:t>
      </w:r>
      <w:r>
        <w:t xml:space="preserve">Pfizer is scheduled to release its second-quarter results</w:t>
      </w:r>
      <w:r>
        <w:t xml:space="preserve"> </w:t>
      </w:r>
      <w:r>
        <w:rPr>
          <w:b/>
          <w:bCs/>
        </w:rPr>
        <w:t xml:space="preserve">this morning, Tuesday, August 4, 2026</w:t>
      </w:r>
      <w:r>
        <w:t xml:space="preserve">, rather than tomorrow. The analyst call begins at</w:t>
      </w:r>
      <w:r>
        <w:t xml:space="preserve"> </w:t>
      </w:r>
      <w:r>
        <w:rPr>
          <w:b/>
          <w:bCs/>
        </w:rPr>
        <w:t xml:space="preserve">10:00 a.m. ET</w:t>
      </w:r>
      <w:r>
        <w:t xml:space="preserve">. (</w:t>
      </w:r>
      <w:hyperlink r:id="rId9">
        <w:r>
          <w:rPr>
            <w:rStyle w:val="Hyperlink"/>
          </w:rPr>
          <w:t xml:space="preserve">pfizer.com</w:t>
        </w:r>
      </w:hyperlink>
      <w:r>
        <w:t xml:space="preserve">)</w:t>
      </w:r>
    </w:p>
    <w:bookmarkStart w:id="12" w:name="the-setup"/>
    <w:p>
      <w:pPr>
        <w:pStyle w:val="Heading2"/>
      </w:pPr>
      <w:r>
        <w:t xml:space="preserve">The setup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r>
      <w:tr>
        <w:tc>
          <w:tcPr/>
          <w:p>
            <w:pPr>
              <w:pStyle w:val="Compact"/>
            </w:pPr>
            <w:r>
              <w:t xml:space="preserve">Revenue</w:t>
            </w:r>
          </w:p>
        </w:tc>
        <w:tc>
          <w:tcPr/>
          <w:p>
            <w:pPr>
              <w:pStyle w:val="Compact"/>
              <w:jc w:val="right"/>
            </w:pPr>
            <w:r>
              <w:rPr>
                <w:b/>
                <w:bCs/>
              </w:rPr>
              <w:t xml:space="preserve">~$14.4 billion</w:t>
            </w:r>
          </w:p>
        </w:tc>
        <w:tc>
          <w:tcPr/>
          <w:p>
            <w:pPr>
              <w:pStyle w:val="Compact"/>
              <w:jc w:val="right"/>
            </w:pPr>
            <w:r>
              <w:t xml:space="preserve">$14.65 billion</w:t>
            </w:r>
          </w:p>
        </w:tc>
      </w:tr>
      <w:tr>
        <w:tc>
          <w:tcPr/>
          <w:p>
            <w:pPr>
              <w:pStyle w:val="Compact"/>
            </w:pPr>
            <w:r>
              <w:t xml:space="preserve">Adjusted EPS</w:t>
            </w:r>
          </w:p>
        </w:tc>
        <w:tc>
          <w:tcPr/>
          <w:p>
            <w:pPr>
              <w:pStyle w:val="Compact"/>
              <w:jc w:val="right"/>
            </w:pPr>
            <w:r>
              <w:rPr>
                <w:b/>
                <w:bCs/>
              </w:rPr>
              <w:t xml:space="preserve">~$0.68</w:t>
            </w:r>
          </w:p>
        </w:tc>
        <w:tc>
          <w:tcPr/>
          <w:p>
            <w:pPr>
              <w:pStyle w:val="Compact"/>
              <w:jc w:val="right"/>
            </w:pPr>
            <w:r>
              <w:t xml:space="preserve">$0.78</w:t>
            </w:r>
          </w:p>
        </w:tc>
      </w:tr>
    </w:tbl>
    <w:p>
      <w:pPr>
        <w:pStyle w:val="BodyText"/>
      </w:pPr>
      <w:r>
        <w:t xml:space="preserve">Consensus therefore implies modest revenue contraction and a more pronounced year-over-year decline in adjusted EPS. The EPS estimate is approximately $0.68, while available consensus data place revenue near $14.4 billion. (</w:t>
      </w:r>
      <w:hyperlink r:id="rId10">
        <w:r>
          <w:rPr>
            <w:rStyle w:val="Hyperlink"/>
          </w:rPr>
          <w:t xml:space="preserve">tipranks.com</w:t>
        </w:r>
      </w:hyperlink>
      <w:r>
        <w:t xml:space="preserve">)</w:t>
      </w:r>
    </w:p>
    <w:p>
      <w:pPr>
        <w:pStyle w:val="BodyText"/>
      </w:pPr>
      <w:r>
        <w:t xml:space="preserve">Pfizer enters the report after a solid first quarter: revenue was $14.45 billion and adjusted EPS was $0.75. The product mix was encouraging—Padcev, Lorbrena, Nurtec and Eliquis grew—but Comirnaty and Paxlovid remained significant offsets. (</w:t>
      </w:r>
      <w:hyperlink r:id="rId11">
        <w:r>
          <w:rPr>
            <w:rStyle w:val="Hyperlink"/>
          </w:rPr>
          <w:t xml:space="preserve">sec.gov</w:t>
        </w:r>
      </w:hyperlink>
      <w:r>
        <w:t xml:space="preserve">)</w:t>
      </w:r>
    </w:p>
    <w:p>
      <w:pPr>
        <w:pStyle w:val="BodyText"/>
      </w:pPr>
      <w:r>
        <w:t xml:space="preserve">The central question is not whether Pfizer can beat a relatively modest quarterly earnings bar. It is whether the company can demonstrate that growth products, pipeline progress and cost savings are building a credible bridge across its upcoming patent-expiration cycle.</w:t>
      </w:r>
    </w:p>
    <w:bookmarkEnd w:id="12"/>
    <w:bookmarkStart w:id="21" w:name="what-matters-most"/>
    <w:p>
      <w:pPr>
        <w:pStyle w:val="Heading2"/>
      </w:pPr>
      <w:r>
        <w:t xml:space="preserve">What matters most</w:t>
      </w:r>
    </w:p>
    <w:bookmarkStart w:id="14" w:name="Xf75bf2dc2bcd9c944569a7fa79d4da3533c590e"/>
    <w:p>
      <w:pPr>
        <w:pStyle w:val="Heading3"/>
      </w:pPr>
      <w:r>
        <w:t xml:space="preserve">1. Full-year guidance is the primary earnings catalyst</w:t>
      </w:r>
    </w:p>
    <w:p>
      <w:pPr>
        <w:pStyle w:val="FirstParagraph"/>
      </w:pPr>
      <w:r>
        <w:t xml:space="preserve">Pfizer has reaffirmed 2026 guidance twice, most recently following the June CFO-transition announcement:</w:t>
      </w:r>
    </w:p>
    <w:p>
      <w:pPr>
        <w:pStyle w:val="Compact"/>
        <w:numPr>
          <w:ilvl w:val="0"/>
          <w:numId w:val="1001"/>
        </w:numPr>
      </w:pPr>
      <w:r>
        <w:rPr>
          <w:b/>
          <w:bCs/>
        </w:rPr>
        <w:t xml:space="preserve">Revenue:</w:t>
      </w:r>
      <w:r>
        <w:t xml:space="preserve"> </w:t>
      </w:r>
      <w:r>
        <w:t xml:space="preserve">$59.5 billion to $62.5 billion</w:t>
      </w:r>
    </w:p>
    <w:p>
      <w:pPr>
        <w:pStyle w:val="Compact"/>
        <w:numPr>
          <w:ilvl w:val="0"/>
          <w:numId w:val="1001"/>
        </w:numPr>
      </w:pPr>
      <w:r>
        <w:rPr>
          <w:b/>
          <w:bCs/>
        </w:rPr>
        <w:t xml:space="preserve">Adjusted EPS:</w:t>
      </w:r>
      <w:r>
        <w:t xml:space="preserve"> </w:t>
      </w:r>
      <w:r>
        <w:t xml:space="preserve">$2.80 to $3.00</w:t>
      </w:r>
    </w:p>
    <w:p>
      <w:pPr>
        <w:pStyle w:val="Compact"/>
        <w:numPr>
          <w:ilvl w:val="0"/>
          <w:numId w:val="1001"/>
        </w:numPr>
      </w:pPr>
      <w:r>
        <w:rPr>
          <w:b/>
          <w:bCs/>
        </w:rPr>
        <w:t xml:space="preserve">Adjusted SI&amp;A:</w:t>
      </w:r>
      <w:r>
        <w:t xml:space="preserve"> </w:t>
      </w:r>
      <w:r>
        <w:t xml:space="preserve">$12.5 billion to $13.5 billion</w:t>
      </w:r>
    </w:p>
    <w:p>
      <w:pPr>
        <w:pStyle w:val="Compact"/>
        <w:numPr>
          <w:ilvl w:val="0"/>
          <w:numId w:val="1001"/>
        </w:numPr>
      </w:pPr>
      <w:r>
        <w:rPr>
          <w:b/>
          <w:bCs/>
        </w:rPr>
        <w:t xml:space="preserve">Adjusted R&amp;D:</w:t>
      </w:r>
      <w:r>
        <w:t xml:space="preserve"> </w:t>
      </w:r>
      <w:r>
        <w:t xml:space="preserve">$10.5 billion to $11.5 billion</w:t>
      </w:r>
    </w:p>
    <w:p>
      <w:pPr>
        <w:pStyle w:val="Compact"/>
        <w:numPr>
          <w:ilvl w:val="0"/>
          <w:numId w:val="1001"/>
        </w:numPr>
      </w:pPr>
      <w:r>
        <w:rPr>
          <w:b/>
          <w:bCs/>
        </w:rPr>
        <w:t xml:space="preserve">Adjusted tax rate:</w:t>
      </w:r>
      <w:r>
        <w:t xml:space="preserve"> </w:t>
      </w:r>
      <w:r>
        <w:t xml:space="preserve">approximately 15%</w:t>
      </w:r>
    </w:p>
    <w:p>
      <w:pPr>
        <w:pStyle w:val="FirstParagraph"/>
      </w:pPr>
      <w:r>
        <w:t xml:space="preserve">The original outlook assumed roughly $5 billion of COVID-product revenue, approximately $1.5 billion below 2025, plus another approximately $1.5 billion headwind from loss of exclusivity. (</w:t>
      </w:r>
      <w:hyperlink r:id="rId13">
        <w:r>
          <w:rPr>
            <w:rStyle w:val="Hyperlink"/>
          </w:rPr>
          <w:t xml:space="preserve">pfizer.com</w:t>
        </w:r>
      </w:hyperlink>
      <w:r>
        <w:t xml:space="preserve">)</w:t>
      </w:r>
    </w:p>
    <w:p>
      <w:pPr>
        <w:pStyle w:val="BodyText"/>
      </w:pPr>
      <w:r>
        <w:rPr>
          <w:b/>
          <w:bCs/>
        </w:rPr>
        <w:t xml:space="preserve">Investor interpretation:</w:t>
      </w:r>
    </w:p>
    <w:p>
      <w:pPr>
        <w:pStyle w:val="Compact"/>
        <w:numPr>
          <w:ilvl w:val="0"/>
          <w:numId w:val="1002"/>
        </w:numPr>
      </w:pPr>
      <w:r>
        <w:t xml:space="preserve">A simple reiteration would be acceptable but probably insufficient for a major rerating.</w:t>
      </w:r>
    </w:p>
    <w:p>
      <w:pPr>
        <w:pStyle w:val="Compact"/>
        <w:numPr>
          <w:ilvl w:val="0"/>
          <w:numId w:val="1002"/>
        </w:numPr>
      </w:pPr>
      <w:r>
        <w:t xml:space="preserve">A higher EPS floor or midpoint would signal that commercial execution and cost savings are running ahead of plan.</w:t>
      </w:r>
    </w:p>
    <w:p>
      <w:pPr>
        <w:pStyle w:val="Compact"/>
        <w:numPr>
          <w:ilvl w:val="0"/>
          <w:numId w:val="1002"/>
        </w:numPr>
      </w:pPr>
      <w:r>
        <w:t xml:space="preserve">A revenue-guidance reduction—particularly one caused by non-COVID products—would be materially more concerning than ordinary quarterly volatility in Paxlovid or Comirnaty.</w:t>
      </w:r>
    </w:p>
    <w:p>
      <w:pPr>
        <w:pStyle w:val="FirstParagraph"/>
      </w:pPr>
      <w:r>
        <w:t xml:space="preserve">Pfizer earned $0.75 in Q1. If Q2 lands near $0.68, first-half adjusted EPS would be about $1.43, leaving roughly $1.37 to $1.57 needed in the second half to meet guidance. That appears achievable given the seasonality of Comirnaty, but it leaves execution dependent on the autumn vaccine season and continued expense control.</w:t>
      </w:r>
    </w:p>
    <w:bookmarkEnd w:id="14"/>
    <w:bookmarkStart w:id="17" w:name="X64fc456c31455aaddbc148b620d87ba4cd47012"/>
    <w:p>
      <w:pPr>
        <w:pStyle w:val="Heading3"/>
      </w:pPr>
      <w:r>
        <w:t xml:space="preserve">2. Can the non-COVID portfolio keep carrying the business?</w:t>
      </w:r>
    </w:p>
    <w:p>
      <w:pPr>
        <w:pStyle w:val="FirstParagraph"/>
      </w:pPr>
      <w:r>
        <w:t xml:space="preserve">Pfizer’s Q1 revenue rose 5% as reported, but the underlying picture was more important: the company reported 7% operational growth excluding Comirnaty and Paxlovid, while its recently launched and acquired products grew 22% operationally.</w:t>
      </w:r>
    </w:p>
    <w:p>
      <w:pPr>
        <w:pStyle w:val="BodyText"/>
      </w:pPr>
      <w:r>
        <w:t xml:space="preserve">The key Q2 product trends are:</w:t>
      </w:r>
    </w:p>
    <w:p>
      <w:pPr>
        <w:pStyle w:val="Compact"/>
        <w:numPr>
          <w:ilvl w:val="0"/>
          <w:numId w:val="1003"/>
        </w:numPr>
      </w:pPr>
      <w:r>
        <w:rPr>
          <w:b/>
          <w:bCs/>
        </w:rPr>
        <w:t xml:space="preserve">Padcev:</w:t>
      </w:r>
      <w:r>
        <w:t xml:space="preserve"> </w:t>
      </w:r>
      <w:r>
        <w:t xml:space="preserve">Q1 sales were $591 million, up 39% operationally.</w:t>
      </w:r>
    </w:p>
    <w:p>
      <w:pPr>
        <w:pStyle w:val="Compact"/>
        <w:numPr>
          <w:ilvl w:val="0"/>
          <w:numId w:val="1003"/>
        </w:numPr>
      </w:pPr>
      <w:r>
        <w:rPr>
          <w:b/>
          <w:bCs/>
        </w:rPr>
        <w:t xml:space="preserve">Eliquis:</w:t>
      </w:r>
      <w:r>
        <w:t xml:space="preserve"> </w:t>
      </w:r>
      <w:r>
        <w:t xml:space="preserve">$2.17 billion, up 8% operationally.</w:t>
      </w:r>
    </w:p>
    <w:p>
      <w:pPr>
        <w:pStyle w:val="Compact"/>
        <w:numPr>
          <w:ilvl w:val="0"/>
          <w:numId w:val="1003"/>
        </w:numPr>
      </w:pPr>
      <w:r>
        <w:rPr>
          <w:b/>
          <w:bCs/>
        </w:rPr>
        <w:t xml:space="preserve">Nurtec/Vydura:</w:t>
      </w:r>
      <w:r>
        <w:t xml:space="preserve"> </w:t>
      </w:r>
      <w:r>
        <w:t xml:space="preserve">$353 million, up 41% operationally.</w:t>
      </w:r>
    </w:p>
    <w:p>
      <w:pPr>
        <w:pStyle w:val="Compact"/>
        <w:numPr>
          <w:ilvl w:val="0"/>
          <w:numId w:val="1003"/>
        </w:numPr>
      </w:pPr>
      <w:r>
        <w:rPr>
          <w:b/>
          <w:bCs/>
        </w:rPr>
        <w:t xml:space="preserve">Lorbrena:</w:t>
      </w:r>
      <w:r>
        <w:t xml:space="preserve"> </w:t>
      </w:r>
      <w:r>
        <w:t xml:space="preserve">$305 million, up 32% operationally.</w:t>
      </w:r>
    </w:p>
    <w:p>
      <w:pPr>
        <w:pStyle w:val="Compact"/>
        <w:numPr>
          <w:ilvl w:val="0"/>
          <w:numId w:val="1003"/>
        </w:numPr>
      </w:pPr>
      <w:r>
        <w:rPr>
          <w:b/>
          <w:bCs/>
        </w:rPr>
        <w:t xml:space="preserve">Vyndaqel family:</w:t>
      </w:r>
      <w:r>
        <w:t xml:space="preserve"> </w:t>
      </w:r>
      <w:r>
        <w:t xml:space="preserve">$1.60 billion, up 4% operationally, with international growth offsetting U.S. pricing pressure.</w:t>
      </w:r>
    </w:p>
    <w:p>
      <w:pPr>
        <w:pStyle w:val="Compact"/>
        <w:numPr>
          <w:ilvl w:val="0"/>
          <w:numId w:val="1003"/>
        </w:numPr>
      </w:pPr>
      <w:r>
        <w:rPr>
          <w:b/>
          <w:bCs/>
        </w:rPr>
        <w:t xml:space="preserve">Oncology biosimilars:</w:t>
      </w:r>
      <w:r>
        <w:t xml:space="preserve"> </w:t>
      </w:r>
      <w:r>
        <w:t xml:space="preserve">$409 million, up 52% operationally, although Pfizer noted some one-time pricing and supply benefits. (</w:t>
      </w:r>
      <w:hyperlink r:id="rId11">
        <w:r>
          <w:rPr>
            <w:rStyle w:val="Hyperlink"/>
          </w:rPr>
          <w:t xml:space="preserve">sec.gov</w:t>
        </w:r>
      </w:hyperlink>
      <w:r>
        <w:t xml:space="preserve">)</w:t>
      </w:r>
    </w:p>
    <w:p>
      <w:pPr>
        <w:pStyle w:val="FirstParagraph"/>
      </w:pPr>
      <w:r>
        <w:t xml:space="preserve">Investors should focus less on individual penny-level product beats and more on whether these assets collectively maintain double-digit growth. The group needs to offset declines in COVID products, Ibrance and other medicines facing competition.</w:t>
      </w:r>
    </w:p>
    <w:bookmarkStart w:id="16" w:name="X4ffdd3aca2e34586501e15df7625077dbf8f483"/>
    <w:p>
      <w:pPr>
        <w:pStyle w:val="Heading4"/>
      </w:pPr>
      <w:r>
        <w:t xml:space="preserve">Padcev is the most important near-term commercial asset</w:t>
      </w:r>
    </w:p>
    <w:p>
      <w:pPr>
        <w:pStyle w:val="FirstParagraph"/>
      </w:pPr>
      <w:r>
        <w:t xml:space="preserve">Padcev’s opportunity expanded materially in July when the FDA approved Padcev plus Keytruda as perioperative treatment for muscle-invasive bladder cancer regardless of cisplatin eligibility. The approval was supported by EV-304, where the regimen reduced the risk of recurrence, progression or death by 47% compared with standard chemotherapy. (</w:t>
      </w:r>
      <w:hyperlink r:id="rId15">
        <w:r>
          <w:rPr>
            <w:rStyle w:val="Hyperlink"/>
          </w:rPr>
          <w:t xml:space="preserve">pfizer.com</w:t>
        </w:r>
      </w:hyperlink>
      <w:r>
        <w:t xml:space="preserve">)</w:t>
      </w:r>
    </w:p>
    <w:p>
      <w:pPr>
        <w:pStyle w:val="BodyText"/>
      </w:pPr>
      <w:r>
        <w:t xml:space="preserve">Because the broader approval came after the second quarter ended, it will not materially affect reported Q2 sales. Management commentary on launch preparation, physician adoption and the longer-term size of the earlier-stage market could nevertheless influence expectations for 2027 and beyond.</w:t>
      </w:r>
    </w:p>
    <w:bookmarkEnd w:id="16"/>
    <w:bookmarkEnd w:id="17"/>
    <w:bookmarkStart w:id="19" w:name="X5b47fb3df9bd433e146eddb06e167d99bc04818"/>
    <w:p>
      <w:pPr>
        <w:pStyle w:val="Heading3"/>
      </w:pPr>
      <w:r>
        <w:t xml:space="preserve">3. COVID results may be noisy, but guidance assumptions cannot deteriorate</w:t>
      </w:r>
    </w:p>
    <w:p>
      <w:pPr>
        <w:pStyle w:val="FirstParagraph"/>
      </w:pPr>
      <w:r>
        <w:t xml:space="preserve">Comirnaty and Paxlovid declined sharply in Q1:</w:t>
      </w:r>
    </w:p>
    <w:p>
      <w:pPr>
        <w:pStyle w:val="Compact"/>
        <w:numPr>
          <w:ilvl w:val="0"/>
          <w:numId w:val="1004"/>
        </w:numPr>
      </w:pPr>
      <w:r>
        <w:t xml:space="preserve">Comirnaty:</w:t>
      </w:r>
      <w:r>
        <w:t xml:space="preserve"> </w:t>
      </w:r>
      <w:r>
        <w:rPr>
          <w:b/>
          <w:bCs/>
        </w:rPr>
        <w:t xml:space="preserve">$232 million</w:t>
      </w:r>
      <w:r>
        <w:t xml:space="preserve">, down 59% operationally.</w:t>
      </w:r>
    </w:p>
    <w:p>
      <w:pPr>
        <w:pStyle w:val="Compact"/>
        <w:numPr>
          <w:ilvl w:val="0"/>
          <w:numId w:val="1004"/>
        </w:numPr>
      </w:pPr>
      <w:r>
        <w:t xml:space="preserve">Paxlovid:</w:t>
      </w:r>
      <w:r>
        <w:t xml:space="preserve"> </w:t>
      </w:r>
      <w:r>
        <w:rPr>
          <w:b/>
          <w:bCs/>
        </w:rPr>
        <w:t xml:space="preserve">$186 million</w:t>
      </w:r>
      <w:r>
        <w:t xml:space="preserve">, down 63% operationally. (</w:t>
      </w:r>
      <w:hyperlink r:id="rId11">
        <w:r>
          <w:rPr>
            <w:rStyle w:val="Hyperlink"/>
          </w:rPr>
          <w:t xml:space="preserve">sec.gov</w:t>
        </w:r>
      </w:hyperlink>
      <w:r>
        <w:t xml:space="preserve">)</w:t>
      </w:r>
    </w:p>
    <w:p>
      <w:pPr>
        <w:pStyle w:val="FirstParagraph"/>
      </w:pPr>
      <w:r>
        <w:t xml:space="preserve">Pfizer has emphasized that Comirnaty revenue is heavily weighted toward the second half, while low COVID infection levels may continue to pressure Paxlovid. Q2 COVID sales should therefore be judged against full-year assumptions rather than in isolation.</w:t>
      </w:r>
    </w:p>
    <w:p>
      <w:pPr>
        <w:pStyle w:val="BodyText"/>
      </w:pPr>
      <w:r>
        <w:t xml:space="preserve">The important questions are:</w:t>
      </w:r>
    </w:p>
    <w:p>
      <w:pPr>
        <w:pStyle w:val="Compact"/>
        <w:numPr>
          <w:ilvl w:val="0"/>
          <w:numId w:val="1005"/>
        </w:numPr>
      </w:pPr>
      <w:r>
        <w:t xml:space="preserve">Is the approximately $5 billion full-year COVID-revenue assumption still intact?</w:t>
      </w:r>
    </w:p>
    <w:p>
      <w:pPr>
        <w:pStyle w:val="Compact"/>
        <w:numPr>
          <w:ilvl w:val="0"/>
          <w:numId w:val="1005"/>
        </w:numPr>
      </w:pPr>
      <w:r>
        <w:t xml:space="preserve">Has Pfizer changed its view of U.S. vaccine eligibility, recommendations or vaccination rates?</w:t>
      </w:r>
    </w:p>
    <w:p>
      <w:pPr>
        <w:pStyle w:val="Compact"/>
        <w:numPr>
          <w:ilvl w:val="0"/>
          <w:numId w:val="1005"/>
        </w:numPr>
      </w:pPr>
      <w:r>
        <w:t xml:space="preserve">Are international contractual deliveries proceeding as expected?</w:t>
      </w:r>
    </w:p>
    <w:p>
      <w:pPr>
        <w:pStyle w:val="Compact"/>
        <w:numPr>
          <w:ilvl w:val="0"/>
          <w:numId w:val="1005"/>
        </w:numPr>
      </w:pPr>
      <w:r>
        <w:t xml:space="preserve">Is Paxlovid demand merely delayed, or structurally below the company’s plan?</w:t>
      </w:r>
    </w:p>
    <w:p>
      <w:pPr>
        <w:pStyle w:val="FirstParagraph"/>
      </w:pPr>
      <w:r>
        <w:t xml:space="preserve">The European authorization of the updated XFG-adapted vaccine is operationally positive, but investors still need visibility into autumn demand and U.S. vaccine policy. (</w:t>
      </w:r>
      <w:hyperlink r:id="rId18">
        <w:r>
          <w:rPr>
            <w:rStyle w:val="Hyperlink"/>
          </w:rPr>
          <w:t xml:space="preserve">pfizer.com</w:t>
        </w:r>
      </w:hyperlink>
      <w:r>
        <w:t xml:space="preserve">)</w:t>
      </w:r>
    </w:p>
    <w:bookmarkEnd w:id="19"/>
    <w:bookmarkStart w:id="20" w:name="X8e53c71b6160decb4285e56bb8dedeec83f1d77"/>
    <w:p>
      <w:pPr>
        <w:pStyle w:val="Heading3"/>
      </w:pPr>
      <w:r>
        <w:t xml:space="preserve">4. Margin delivery and cost savings need to offset heavier R&amp;D investment</w:t>
      </w:r>
    </w:p>
    <w:p>
      <w:pPr>
        <w:pStyle w:val="FirstParagraph"/>
      </w:pPr>
      <w:r>
        <w:t xml:space="preserve">Q1 adjusted cost of sales rose sharply and adjusted gross margin was approximately 76%. Pfizer attributed part of the year-over-year pressure to the non-recurrence of a favorable royalty adjustment, product mix and foreign exchange.</w:t>
      </w:r>
    </w:p>
    <w:p>
      <w:pPr>
        <w:pStyle w:val="BodyText"/>
      </w:pPr>
      <w:r>
        <w:t xml:space="preserve">At the same time:</w:t>
      </w:r>
    </w:p>
    <w:p>
      <w:pPr>
        <w:pStyle w:val="Compact"/>
        <w:numPr>
          <w:ilvl w:val="0"/>
          <w:numId w:val="1006"/>
        </w:numPr>
      </w:pPr>
      <w:r>
        <w:t xml:space="preserve">Adjusted SI&amp;A declined 5% operationally in Q1.</w:t>
      </w:r>
    </w:p>
    <w:p>
      <w:pPr>
        <w:pStyle w:val="Compact"/>
        <w:numPr>
          <w:ilvl w:val="0"/>
          <w:numId w:val="1006"/>
        </w:numPr>
      </w:pPr>
      <w:r>
        <w:t xml:space="preserve">Adjusted R&amp;D increased 11% operationally as Pfizer funded oncology and obesity programs.</w:t>
      </w:r>
    </w:p>
    <w:p>
      <w:pPr>
        <w:pStyle w:val="Compact"/>
        <w:numPr>
          <w:ilvl w:val="0"/>
          <w:numId w:val="1006"/>
        </w:numPr>
      </w:pPr>
      <w:r>
        <w:t xml:space="preserve">Management expects most of its approximately $7.2 billion of net cost savings to be achieved by the end of 2026.</w:t>
      </w:r>
    </w:p>
    <w:p>
      <w:pPr>
        <w:pStyle w:val="FirstParagraph"/>
      </w:pPr>
      <w:r>
        <w:t xml:space="preserve">The constructive outcome would be continued SI&amp;A discipline and manufacturing savings funding higher-value pipeline investment without compromising adjusted operating margins.</w:t>
      </w:r>
    </w:p>
    <w:p>
      <w:pPr>
        <w:pStyle w:val="BodyText"/>
      </w:pPr>
      <w:r>
        <w:t xml:space="preserve">Watch for:</w:t>
      </w:r>
    </w:p>
    <w:p>
      <w:pPr>
        <w:pStyle w:val="Compact"/>
        <w:numPr>
          <w:ilvl w:val="0"/>
          <w:numId w:val="1007"/>
        </w:numPr>
      </w:pPr>
      <w:r>
        <w:t xml:space="preserve">Progress toward approximately</w:t>
      </w:r>
      <w:r>
        <w:t xml:space="preserve"> </w:t>
      </w:r>
      <w:r>
        <w:rPr>
          <w:b/>
          <w:bCs/>
        </w:rPr>
        <w:t xml:space="preserve">$700 million of 2026 manufacturing savings</w:t>
      </w:r>
      <w:r>
        <w:t xml:space="preserve">.</w:t>
      </w:r>
    </w:p>
    <w:p>
      <w:pPr>
        <w:pStyle w:val="Compact"/>
        <w:numPr>
          <w:ilvl w:val="0"/>
          <w:numId w:val="1007"/>
        </w:numPr>
      </w:pPr>
      <w:r>
        <w:t xml:space="preserve">Updated timing for the broader cost-realignment program.</w:t>
      </w:r>
    </w:p>
    <w:p>
      <w:pPr>
        <w:pStyle w:val="Compact"/>
        <w:numPr>
          <w:ilvl w:val="0"/>
          <w:numId w:val="1007"/>
        </w:numPr>
      </w:pPr>
      <w:r>
        <w:t xml:space="preserve">Whether obesity Phase 3 expansion pushes R&amp;D toward the high end of guidance.</w:t>
      </w:r>
    </w:p>
    <w:p>
      <w:pPr>
        <w:pStyle w:val="Compact"/>
        <w:numPr>
          <w:ilvl w:val="0"/>
          <w:numId w:val="1007"/>
        </w:numPr>
      </w:pPr>
      <w:r>
        <w:t xml:space="preserve">Any restructuring or impairment charges related to failed or deprioritized programs.</w:t>
      </w:r>
    </w:p>
    <w:bookmarkEnd w:id="20"/>
    <w:bookmarkEnd w:id="21"/>
    <w:bookmarkStart w:id="26" w:name="X91de0b575cbf8d9a5b67adc72d38ca2b9a96a0d"/>
    <w:p>
      <w:pPr>
        <w:pStyle w:val="Heading2"/>
      </w:pPr>
      <w:r>
        <w:t xml:space="preserve">Pipeline: progress is positive, but credibility remains mixed</w:t>
      </w:r>
    </w:p>
    <w:p>
      <w:pPr>
        <w:pStyle w:val="FirstParagraph"/>
      </w:pPr>
      <w:r>
        <w:t xml:space="preserve">The pipeline discussion could matter as much as the financial results.</w:t>
      </w:r>
    </w:p>
    <w:bookmarkStart w:id="23" w:name="Xf0b516de050f829b3b78f3a4d9d8a31b2ae6de9"/>
    <w:p>
      <w:pPr>
        <w:pStyle w:val="Heading3"/>
      </w:pPr>
      <w:r>
        <w:t xml:space="preserve">Obesity has become Pfizer’s main upside option</w:t>
      </w:r>
    </w:p>
    <w:p>
      <w:pPr>
        <w:pStyle w:val="FirstParagraph"/>
      </w:pPr>
      <w:r>
        <w:t xml:space="preserve">June data supported advancing berobenatide, Pfizer’s ultra-long-acting GLP-1 receptor agonist acquired with Metsera. Weekly dosing produced almost 16% non-placebo-adjusted weight loss at 32 weeks without an observed plateau, while monthly maintenance dosing showed favorable tolerability. Pfizer plans ten Phase 3 berobenatide studies as part of more than 20 obesity trials. (</w:t>
      </w:r>
      <w:hyperlink r:id="rId22">
        <w:r>
          <w:rPr>
            <w:rStyle w:val="Hyperlink"/>
          </w:rPr>
          <w:t xml:space="preserve">pfizer.com</w:t>
        </w:r>
      </w:hyperlink>
      <w:r>
        <w:t xml:space="preserve">)</w:t>
      </w:r>
    </w:p>
    <w:p>
      <w:pPr>
        <w:pStyle w:val="BodyText"/>
      </w:pPr>
      <w:r>
        <w:t xml:space="preserve">Investors should seek answers on:</w:t>
      </w:r>
    </w:p>
    <w:p>
      <w:pPr>
        <w:pStyle w:val="Compact"/>
        <w:numPr>
          <w:ilvl w:val="0"/>
          <w:numId w:val="1008"/>
        </w:numPr>
      </w:pPr>
      <w:r>
        <w:t xml:space="preserve">Enrollment timing for the Phase 3 program.</w:t>
      </w:r>
    </w:p>
    <w:p>
      <w:pPr>
        <w:pStyle w:val="Compact"/>
        <w:numPr>
          <w:ilvl w:val="0"/>
          <w:numId w:val="1008"/>
        </w:numPr>
      </w:pPr>
      <w:r>
        <w:t xml:space="preserve">Whether the targeted</w:t>
      </w:r>
      <w:r>
        <w:t xml:space="preserve"> </w:t>
      </w:r>
      <w:r>
        <w:rPr>
          <w:b/>
          <w:bCs/>
        </w:rPr>
        <w:t xml:space="preserve">2028 first approval</w:t>
      </w:r>
      <w:r>
        <w:t xml:space="preserve"> </w:t>
      </w:r>
      <w:r>
        <w:t xml:space="preserve">remains realistic.</w:t>
      </w:r>
    </w:p>
    <w:p>
      <w:pPr>
        <w:pStyle w:val="Compact"/>
        <w:numPr>
          <w:ilvl w:val="0"/>
          <w:numId w:val="1008"/>
        </w:numPr>
      </w:pPr>
      <w:r>
        <w:t xml:space="preserve">Manufacturing scale and device readiness.</w:t>
      </w:r>
    </w:p>
    <w:p>
      <w:pPr>
        <w:pStyle w:val="Compact"/>
        <w:numPr>
          <w:ilvl w:val="0"/>
          <w:numId w:val="1008"/>
        </w:numPr>
      </w:pPr>
      <w:r>
        <w:t xml:space="preserve">Monthly dosing’s potential differentiation from established weekly products.</w:t>
      </w:r>
    </w:p>
    <w:p>
      <w:pPr>
        <w:pStyle w:val="Compact"/>
        <w:numPr>
          <w:ilvl w:val="0"/>
          <w:numId w:val="1008"/>
        </w:numPr>
      </w:pPr>
      <w:r>
        <w:t xml:space="preserve">Timing for amylin monotherapy and combination data.</w:t>
      </w:r>
    </w:p>
    <w:p>
      <w:pPr>
        <w:pStyle w:val="Compact"/>
        <w:numPr>
          <w:ilvl w:val="0"/>
          <w:numId w:val="1008"/>
        </w:numPr>
      </w:pPr>
      <w:r>
        <w:t xml:space="preserve">Expected R&amp;D spending before the program generates revenue.</w:t>
      </w:r>
    </w:p>
    <w:p>
      <w:pPr>
        <w:pStyle w:val="FirstParagraph"/>
      </w:pPr>
      <w:r>
        <w:t xml:space="preserve">Berobenatide does not solve Pfizer’s near-term growth problem, but success could materially improve the company’s post-2028 outlook.</w:t>
      </w:r>
    </w:p>
    <w:bookmarkEnd w:id="23"/>
    <w:bookmarkStart w:id="25" w:name="X7194d94f4fd1ba01bfebdfec40add07701b9e49"/>
    <w:p>
      <w:pPr>
        <w:pStyle w:val="Heading3"/>
      </w:pPr>
      <w:r>
        <w:t xml:space="preserve">Oncology has both a commercial win and a clinical setback</w:t>
      </w:r>
    </w:p>
    <w:p>
      <w:pPr>
        <w:pStyle w:val="FirstParagraph"/>
      </w:pPr>
      <w:r>
        <w:t xml:space="preserve">The expanded Padcev approval strengthens the commercial side of the Seagen acquisition. However, sigvotatug vedotin failed to demonstrate a statistically significant overall-survival improvement over docetaxel in the overall population of the Phase 3 SigVie-002 lung-cancer trial. Pfizer observed a more encouraging trend in second-line patients and is continuing earlier-line combination studies. (</w:t>
      </w:r>
      <w:hyperlink r:id="rId24">
        <w:r>
          <w:rPr>
            <w:rStyle w:val="Hyperlink"/>
          </w:rPr>
          <w:t xml:space="preserve">pfizer.com</w:t>
        </w:r>
      </w:hyperlink>
      <w:r>
        <w:t xml:space="preserve">)</w:t>
      </w:r>
    </w:p>
    <w:p>
      <w:pPr>
        <w:pStyle w:val="BodyText"/>
      </w:pPr>
      <w:r>
        <w:t xml:space="preserve">Management needs to explain:</w:t>
      </w:r>
    </w:p>
    <w:p>
      <w:pPr>
        <w:pStyle w:val="Compact"/>
        <w:numPr>
          <w:ilvl w:val="0"/>
          <w:numId w:val="1009"/>
        </w:numPr>
      </w:pPr>
      <w:r>
        <w:t xml:space="preserve">Whether the failed primary endpoint changes the asset’s probability-adjusted value.</w:t>
      </w:r>
    </w:p>
    <w:p>
      <w:pPr>
        <w:pStyle w:val="Compact"/>
        <w:numPr>
          <w:ilvl w:val="0"/>
          <w:numId w:val="1009"/>
        </w:numPr>
      </w:pPr>
      <w:r>
        <w:t xml:space="preserve">How much incremental spending will remain behind sigvotatug vedotin.</w:t>
      </w:r>
    </w:p>
    <w:p>
      <w:pPr>
        <w:pStyle w:val="Compact"/>
        <w:numPr>
          <w:ilvl w:val="0"/>
          <w:numId w:val="1009"/>
        </w:numPr>
      </w:pPr>
      <w:r>
        <w:t xml:space="preserve">Whether the first-line pembrolizumab combination program remains on schedule.</w:t>
      </w:r>
    </w:p>
    <w:p>
      <w:pPr>
        <w:pStyle w:val="Compact"/>
        <w:numPr>
          <w:ilvl w:val="0"/>
          <w:numId w:val="1009"/>
        </w:numPr>
      </w:pPr>
      <w:r>
        <w:t xml:space="preserve">Whether other ADCs or the PD-1/VEGF bispecific can compensate for the setback.</w:t>
      </w:r>
    </w:p>
    <w:p>
      <w:pPr>
        <w:pStyle w:val="FirstParagraph"/>
      </w:pPr>
      <w:r>
        <w:t xml:space="preserve">Other recent positives include successful Phase 3 vitiligo studies for Litfulo, expanded Ibrance and Hympavzi approvals, and FDA priority review for Talzenna plus Xtandi. Litfulo met its U.S. co-primary endpoints in two Phase 3 studies without new safety signals. (</w:t>
      </w:r>
      <w:hyperlink r:id="rId18">
        <w:r>
          <w:rPr>
            <w:rStyle w:val="Hyperlink"/>
          </w:rPr>
          <w:t xml:space="preserve">pfizer.com</w:t>
        </w:r>
      </w:hyperlink>
      <w:r>
        <w:t xml:space="preserve">)</w:t>
      </w:r>
    </w:p>
    <w:bookmarkEnd w:id="25"/>
    <w:bookmarkEnd w:id="26"/>
    <w:bookmarkStart w:id="29" w:name="cfo-transition-and-capital-allocation"/>
    <w:p>
      <w:pPr>
        <w:pStyle w:val="Heading2"/>
      </w:pPr>
      <w:r>
        <w:t xml:space="preserve">CFO transition and capital allocation</w:t>
      </w:r>
    </w:p>
    <w:p>
      <w:pPr>
        <w:pStyle w:val="FirstParagraph"/>
      </w:pPr>
      <w:r>
        <w:t xml:space="preserve">Dave Denton will leave Pfizer on August 15, with Cecile Guegan becoming interim CFO on August 16. Pfizer reaffirmed guidance when announcing the transition, reducing the likelihood that the departure reflected an undisclosed near-term financial issue. Nevertheless, investors will want continuity on cost discipline, leverage and capital deployment. (</w:t>
      </w:r>
      <w:hyperlink r:id="rId27">
        <w:r>
          <w:rPr>
            <w:rStyle w:val="Hyperlink"/>
          </w:rPr>
          <w:t xml:space="preserve">pfizer.com</w:t>
        </w:r>
      </w:hyperlink>
      <w:r>
        <w:t xml:space="preserve">)</w:t>
      </w:r>
    </w:p>
    <w:p>
      <w:pPr>
        <w:pStyle w:val="BodyText"/>
      </w:pPr>
      <w:r>
        <w:t xml:space="preserve">Relevant topics include:</w:t>
      </w:r>
    </w:p>
    <w:p>
      <w:pPr>
        <w:pStyle w:val="Compact"/>
        <w:numPr>
          <w:ilvl w:val="0"/>
          <w:numId w:val="1010"/>
        </w:numPr>
      </w:pPr>
      <w:r>
        <w:t xml:space="preserve">Pfizer’s approximately 2.8-times leverage exiting Q1.</w:t>
      </w:r>
    </w:p>
    <w:p>
      <w:pPr>
        <w:pStyle w:val="Compact"/>
        <w:numPr>
          <w:ilvl w:val="0"/>
          <w:numId w:val="1010"/>
        </w:numPr>
      </w:pPr>
      <w:r>
        <w:t xml:space="preserve">Continued balance-sheet deleveraging following the Seagen and Metsera transactions.</w:t>
      </w:r>
    </w:p>
    <w:p>
      <w:pPr>
        <w:pStyle w:val="Compact"/>
        <w:numPr>
          <w:ilvl w:val="0"/>
          <w:numId w:val="1010"/>
        </w:numPr>
      </w:pPr>
      <w:r>
        <w:t xml:space="preserve">Management’s previously stated business-development capacity.</w:t>
      </w:r>
    </w:p>
    <w:p>
      <w:pPr>
        <w:pStyle w:val="Compact"/>
        <w:numPr>
          <w:ilvl w:val="0"/>
          <w:numId w:val="1010"/>
        </w:numPr>
      </w:pPr>
      <w:r>
        <w:t xml:space="preserve">Whether share repurchases remain a realistic medium-term option.</w:t>
      </w:r>
    </w:p>
    <w:p>
      <w:pPr>
        <w:pStyle w:val="Compact"/>
        <w:numPr>
          <w:ilvl w:val="0"/>
          <w:numId w:val="1010"/>
        </w:numPr>
      </w:pPr>
      <w:r>
        <w:t xml:space="preserve">Protection of the dividend.</w:t>
      </w:r>
    </w:p>
    <w:p>
      <w:pPr>
        <w:pStyle w:val="FirstParagraph"/>
      </w:pPr>
      <w:r>
        <w:t xml:space="preserve">The board maintained the quarterly dividend at $0.43 per share. At the August 3 closing price of roughly $25.04, that represents an indicated annual yield of approximately</w:t>
      </w:r>
      <w:r>
        <w:t xml:space="preserve"> </w:t>
      </w:r>
      <w:r>
        <w:rPr>
          <w:b/>
          <w:bCs/>
        </w:rPr>
        <w:t xml:space="preserve">6.9%</w:t>
      </w:r>
      <w:r>
        <w:t xml:space="preserve">. (</w:t>
      </w:r>
      <w:hyperlink r:id="rId28">
        <w:r>
          <w:rPr>
            <w:rStyle w:val="Hyperlink"/>
          </w:rPr>
          <w:t xml:space="preserve">pfizer.com</w:t>
        </w:r>
      </w:hyperlink>
      <w:r>
        <w:t xml:space="preserve">)</w:t>
      </w:r>
    </w:p>
    <w:bookmarkEnd w:id="29"/>
    <w:bookmarkStart w:id="30" w:name="stock-setup"/>
    <w:p>
      <w:pPr>
        <w:pStyle w:val="Heading2"/>
      </w:pPr>
      <w:r>
        <w:t xml:space="preserve">Stock setup</w:t>
      </w:r>
    </w:p>
    <w:p>
      <w:pPr>
        <w:pStyle w:val="FirstParagraph"/>
      </w:pPr>
      <w:r>
        <w:t xml:space="preserve">PFE closed August 3 at approximately $25.04. That is about:</w:t>
      </w:r>
    </w:p>
    <w:p>
      <w:pPr>
        <w:pStyle w:val="Compact"/>
        <w:numPr>
          <w:ilvl w:val="0"/>
          <w:numId w:val="1011"/>
        </w:numPr>
      </w:pPr>
      <w:r>
        <w:rPr>
          <w:b/>
          <w:bCs/>
        </w:rPr>
        <w:t xml:space="preserve">Flat year to date</w:t>
      </w:r>
    </w:p>
    <w:p>
      <w:pPr>
        <w:pStyle w:val="Compact"/>
        <w:numPr>
          <w:ilvl w:val="0"/>
          <w:numId w:val="1011"/>
        </w:numPr>
      </w:pPr>
      <w:r>
        <w:rPr>
          <w:b/>
          <w:bCs/>
        </w:rPr>
        <w:t xml:space="preserve">Down 5% since the Q1 report</w:t>
      </w:r>
    </w:p>
    <w:p>
      <w:pPr>
        <w:pStyle w:val="Compact"/>
        <w:numPr>
          <w:ilvl w:val="0"/>
          <w:numId w:val="1011"/>
        </w:numPr>
      </w:pPr>
      <w:r>
        <w:rPr>
          <w:b/>
          <w:bCs/>
        </w:rPr>
        <w:t xml:space="preserve">8.6 times</w:t>
      </w:r>
      <w:r>
        <w:t xml:space="preserve"> </w:t>
      </w:r>
      <w:r>
        <w:t xml:space="preserve">the midpoint of 2026 adjusted EPS guidance</w:t>
      </w:r>
    </w:p>
    <w:p>
      <w:pPr>
        <w:pStyle w:val="Compact"/>
        <w:numPr>
          <w:ilvl w:val="0"/>
          <w:numId w:val="1011"/>
        </w:numPr>
      </w:pPr>
      <w:r>
        <w:rPr>
          <w:b/>
          <w:bCs/>
        </w:rPr>
        <w:t xml:space="preserve">6.9% indicated dividend yield</w:t>
      </w:r>
    </w:p>
    <w:p>
      <w:pPr>
        <w:pStyle w:val="FirstParagraph"/>
      </w:pPr>
      <w:r>
        <w:t xml:space="preserve">The valuation already discounts weak near-term growth and considerable pipeline uncertainty. But a low multiple alone may not produce upside: investors need evidence that the dividend is supported, the patent-expiration period is manageable and the acquired pipeline will eventually generate meaningful revenue.</w:t>
      </w:r>
    </w:p>
    <w:bookmarkEnd w:id="30"/>
    <w:bookmarkStart w:id="34" w:name="potential-reaction-scenarios"/>
    <w:p>
      <w:pPr>
        <w:pStyle w:val="Heading2"/>
      </w:pPr>
      <w:r>
        <w:t xml:space="preserve">Potential reaction scenarios</w:t>
      </w:r>
    </w:p>
    <w:bookmarkStart w:id="31" w:name="bull-case"/>
    <w:p>
      <w:pPr>
        <w:pStyle w:val="Heading3"/>
      </w:pPr>
      <w:r>
        <w:t xml:space="preserve">Bull case</w:t>
      </w:r>
    </w:p>
    <w:p>
      <w:pPr>
        <w:pStyle w:val="FirstParagraph"/>
      </w:pPr>
      <w:r>
        <w:t xml:space="preserve">The shares could respond positively if Pfizer delivers:</w:t>
      </w:r>
    </w:p>
    <w:p>
      <w:pPr>
        <w:pStyle w:val="Compact"/>
        <w:numPr>
          <w:ilvl w:val="0"/>
          <w:numId w:val="1012"/>
        </w:numPr>
      </w:pPr>
      <w:r>
        <w:t xml:space="preserve">Revenue and adjusted EPS above consensus.</w:t>
      </w:r>
    </w:p>
    <w:p>
      <w:pPr>
        <w:pStyle w:val="Compact"/>
        <w:numPr>
          <w:ilvl w:val="0"/>
          <w:numId w:val="1012"/>
        </w:numPr>
      </w:pPr>
      <w:r>
        <w:t xml:space="preserve">Continued high-teens or better growth from launched and acquired products.</w:t>
      </w:r>
    </w:p>
    <w:p>
      <w:pPr>
        <w:pStyle w:val="Compact"/>
        <w:numPr>
          <w:ilvl w:val="0"/>
          <w:numId w:val="1012"/>
        </w:numPr>
      </w:pPr>
      <w:r>
        <w:t xml:space="preserve">Stable or improved gross-margin expectations.</w:t>
      </w:r>
    </w:p>
    <w:p>
      <w:pPr>
        <w:pStyle w:val="Compact"/>
        <w:numPr>
          <w:ilvl w:val="0"/>
          <w:numId w:val="1012"/>
        </w:numPr>
      </w:pPr>
      <w:r>
        <w:t xml:space="preserve">A raised EPS floor or midpoint.</w:t>
      </w:r>
    </w:p>
    <w:p>
      <w:pPr>
        <w:pStyle w:val="Compact"/>
        <w:numPr>
          <w:ilvl w:val="0"/>
          <w:numId w:val="1012"/>
        </w:numPr>
      </w:pPr>
      <w:r>
        <w:t xml:space="preserve">Confident Padcev launch commentary.</w:t>
      </w:r>
    </w:p>
    <w:p>
      <w:pPr>
        <w:pStyle w:val="Compact"/>
        <w:numPr>
          <w:ilvl w:val="0"/>
          <w:numId w:val="1012"/>
        </w:numPr>
      </w:pPr>
      <w:r>
        <w:t xml:space="preserve">No change to obesity timelines or full-year COVID assumptions.</w:t>
      </w:r>
    </w:p>
    <w:bookmarkEnd w:id="31"/>
    <w:bookmarkStart w:id="32" w:name="base-case"/>
    <w:p>
      <w:pPr>
        <w:pStyle w:val="Heading3"/>
      </w:pPr>
      <w:r>
        <w:t xml:space="preserve">Base case</w:t>
      </w:r>
    </w:p>
    <w:p>
      <w:pPr>
        <w:pStyle w:val="FirstParagraph"/>
      </w:pPr>
      <w:r>
        <w:t xml:space="preserve">A modest beat combined with unchanged guidance is likely to produce a muted reaction. Investors may view the quarter as adequate but continue waiting for stronger evidence of post-2028 growth.</w:t>
      </w:r>
    </w:p>
    <w:bookmarkEnd w:id="32"/>
    <w:bookmarkStart w:id="33" w:name="bear-case"/>
    <w:p>
      <w:pPr>
        <w:pStyle w:val="Heading3"/>
      </w:pPr>
      <w:r>
        <w:t xml:space="preserve">Bear case</w:t>
      </w:r>
    </w:p>
    <w:p>
      <w:pPr>
        <w:pStyle w:val="FirstParagraph"/>
      </w:pPr>
      <w:r>
        <w:t xml:space="preserve">The most negative combination would be:</w:t>
      </w:r>
    </w:p>
    <w:p>
      <w:pPr>
        <w:pStyle w:val="Compact"/>
        <w:numPr>
          <w:ilvl w:val="0"/>
          <w:numId w:val="1013"/>
        </w:numPr>
      </w:pPr>
      <w:r>
        <w:t xml:space="preserve">Weak non-COVID growth.</w:t>
      </w:r>
    </w:p>
    <w:p>
      <w:pPr>
        <w:pStyle w:val="Compact"/>
        <w:numPr>
          <w:ilvl w:val="0"/>
          <w:numId w:val="1013"/>
        </w:numPr>
      </w:pPr>
      <w:r>
        <w:t xml:space="preserve">Lower Paxlovid or vaccine expectations that force a guidance cut.</w:t>
      </w:r>
    </w:p>
    <w:p>
      <w:pPr>
        <w:pStyle w:val="Compact"/>
        <w:numPr>
          <w:ilvl w:val="0"/>
          <w:numId w:val="1013"/>
        </w:numPr>
      </w:pPr>
      <w:r>
        <w:t xml:space="preserve">Rising R&amp;D without corresponding pipeline progress.</w:t>
      </w:r>
    </w:p>
    <w:p>
      <w:pPr>
        <w:pStyle w:val="Compact"/>
        <w:numPr>
          <w:ilvl w:val="0"/>
          <w:numId w:val="1013"/>
        </w:numPr>
      </w:pPr>
      <w:r>
        <w:t xml:space="preserve">Additional oncology setbacks or delays.</w:t>
      </w:r>
    </w:p>
    <w:p>
      <w:pPr>
        <w:pStyle w:val="Compact"/>
        <w:numPr>
          <w:ilvl w:val="0"/>
          <w:numId w:val="1013"/>
        </w:numPr>
      </w:pPr>
      <w:r>
        <w:t xml:space="preserve">Margin pressure that casts doubt on cost-saving targets.</w:t>
      </w:r>
    </w:p>
    <w:p>
      <w:pPr>
        <w:pStyle w:val="Compact"/>
        <w:numPr>
          <w:ilvl w:val="0"/>
          <w:numId w:val="1013"/>
        </w:numPr>
      </w:pPr>
      <w:r>
        <w:t xml:space="preserve">Evasive commentary on leverage, the dividend or the CFO transition.</w:t>
      </w:r>
    </w:p>
    <w:bookmarkEnd w:id="33"/>
    <w:bookmarkEnd w:id="34"/>
    <w:bookmarkStart w:id="35" w:name="bottom-line"/>
    <w:p>
      <w:pPr>
        <w:pStyle w:val="Heading2"/>
      </w:pPr>
      <w:r>
        <w:t xml:space="preserve">Bottom line</w:t>
      </w:r>
    </w:p>
    <w:p>
      <w:pPr>
        <w:pStyle w:val="FirstParagraph"/>
      </w:pPr>
      <w:r>
        <w:rPr>
          <w:b/>
          <w:bCs/>
        </w:rPr>
        <w:t xml:space="preserve">The Q2 earnings bar is manageable, but the strategic bar is higher.</w:t>
      </w:r>
      <w:r>
        <w:t xml:space="preserve"> </w:t>
      </w:r>
      <w:r>
        <w:t xml:space="preserve">Pfizer needs to show that its underlying commercial portfolio is growing fast enough to absorb COVID normalization and patent losses, while cost savings fund—rather than merely mask—heavy pipeline investment.</w:t>
      </w:r>
    </w:p>
    <w:p>
      <w:pPr>
        <w:pStyle w:val="BodyText"/>
      </w:pPr>
      <w:r>
        <w:t xml:space="preserve">The most important indicators will be:</w:t>
      </w:r>
    </w:p>
    <w:p>
      <w:pPr>
        <w:pStyle w:val="Compact"/>
        <w:numPr>
          <w:ilvl w:val="0"/>
          <w:numId w:val="1014"/>
        </w:numPr>
      </w:pPr>
      <w:r>
        <w:rPr>
          <w:b/>
          <w:bCs/>
        </w:rPr>
        <w:t xml:space="preserve">Full-year guidance and its assumptions</w:t>
      </w:r>
    </w:p>
    <w:p>
      <w:pPr>
        <w:pStyle w:val="Compact"/>
        <w:numPr>
          <w:ilvl w:val="0"/>
          <w:numId w:val="1014"/>
        </w:numPr>
      </w:pPr>
      <w:r>
        <w:rPr>
          <w:b/>
          <w:bCs/>
        </w:rPr>
        <w:t xml:space="preserve">Growth from Padcev, Nurtec, Lorbrena and other launched/acquired products</w:t>
      </w:r>
    </w:p>
    <w:p>
      <w:pPr>
        <w:pStyle w:val="Compact"/>
        <w:numPr>
          <w:ilvl w:val="0"/>
          <w:numId w:val="1014"/>
        </w:numPr>
      </w:pPr>
      <w:r>
        <w:rPr>
          <w:b/>
          <w:bCs/>
        </w:rPr>
        <w:t xml:space="preserve">Gross-margin and cost-saving progress</w:t>
      </w:r>
    </w:p>
    <w:p>
      <w:pPr>
        <w:pStyle w:val="Compact"/>
        <w:numPr>
          <w:ilvl w:val="0"/>
          <w:numId w:val="1014"/>
        </w:numPr>
      </w:pPr>
      <w:r>
        <w:rPr>
          <w:b/>
          <w:bCs/>
        </w:rPr>
        <w:t xml:space="preserve">Berobenatide Phase 3 timing</w:t>
      </w:r>
    </w:p>
    <w:p>
      <w:pPr>
        <w:pStyle w:val="Compact"/>
        <w:numPr>
          <w:ilvl w:val="0"/>
          <w:numId w:val="1014"/>
        </w:numPr>
      </w:pPr>
      <w:r>
        <w:rPr>
          <w:b/>
          <w:bCs/>
        </w:rPr>
        <w:t xml:space="preserve">Management’s response to the sigvotatug vedotin setback</w:t>
      </w:r>
    </w:p>
    <w:p>
      <w:pPr>
        <w:pStyle w:val="Compact"/>
        <w:numPr>
          <w:ilvl w:val="0"/>
          <w:numId w:val="1014"/>
        </w:numPr>
      </w:pPr>
      <w:r>
        <w:rPr>
          <w:b/>
          <w:bCs/>
        </w:rPr>
        <w:t xml:space="preserve">Dividend, leverage and capital-allocation discipline</w:t>
      </w:r>
    </w:p>
    <w:p>
      <w:pPr>
        <w:pStyle w:val="FirstParagraph"/>
      </w:pPr>
      <w:r>
        <w:t xml:space="preserve">A clean quarter and guidance raise could reinforce the value-and-income thesis. A simple consensus beat without improved long-term visibility is less likely to change the market’s cautious view.</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7" Target="https://www.pfizer.com/news/press-release/press-release-detail/pfizer-announces-chief-financial-officer-transition?utm_source=openai" TargetMode="External" /><Relationship Type="http://schemas.openxmlformats.org/officeDocument/2006/relationships/hyperlink" Id="rId24" Target="https://www.pfizer.com/news/press-release/press-release-detail/pfizer-announces-topline-phase-3-results-sigvotatug-vedotin" TargetMode="External" /><Relationship Type="http://schemas.openxmlformats.org/officeDocument/2006/relationships/hyperlink" Id="rId28" Target="https://www.pfizer.com/news/press-release/press-release-detail/pfizer-declares-third-quarter-2026-dividend" TargetMode="External" /><Relationship Type="http://schemas.openxmlformats.org/officeDocument/2006/relationships/hyperlink" Id="rId9" Target="https://www.pfizer.com/news/press-release/press-release-detail/pfizer-invites-public-view-and-listen-webcast-august-4?utm_source=openai" TargetMode="External" /><Relationship Type="http://schemas.openxmlformats.org/officeDocument/2006/relationships/hyperlink" Id="rId13" Target="https://www.pfizer.com/news/press-release/press-release-detail/pfizer-reaffirms-full-year-2025-eps-guidance-and-provides?utm_source=openai" TargetMode="External" /><Relationship Type="http://schemas.openxmlformats.org/officeDocument/2006/relationships/hyperlink" Id="rId22" Target="https://www.pfizer.com/news/press-release/press-release-detail/robust-phase-2b-efficacy-and-favorable-tolerability-support" TargetMode="External" /><Relationship Type="http://schemas.openxmlformats.org/officeDocument/2006/relationships/hyperlink" Id="rId15" Target="https://www.pfizer.com/news/press-release/press-release-detail/us-fda-approves-padcevr-plus-keytrudar-neoadjuvant-and" TargetMode="External" /><Relationship Type="http://schemas.openxmlformats.org/officeDocument/2006/relationships/hyperlink" Id="rId18" Target="https://www.pfizer.com/newsroom/press-releases" TargetMode="External" /><Relationship Type="http://schemas.openxmlformats.org/officeDocument/2006/relationships/hyperlink" Id="rId11" Target="https://www.sec.gov/Archives/edgar/data/78003/000007800326000054/pfe-20260329.htm" TargetMode="External" /><Relationship Type="http://schemas.openxmlformats.org/officeDocument/2006/relationships/hyperlink" Id="rId10" Target="https://www.tipranks.com/stocks/pfe/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27" Target="https://www.pfizer.com/news/press-release/press-release-detail/pfizer-announces-chief-financial-officer-transition?utm_source=openai" TargetMode="External" /><Relationship Type="http://schemas.openxmlformats.org/officeDocument/2006/relationships/hyperlink" Id="rId24" Target="https://www.pfizer.com/news/press-release/press-release-detail/pfizer-announces-topline-phase-3-results-sigvotatug-vedotin" TargetMode="External" /><Relationship Type="http://schemas.openxmlformats.org/officeDocument/2006/relationships/hyperlink" Id="rId28" Target="https://www.pfizer.com/news/press-release/press-release-detail/pfizer-declares-third-quarter-2026-dividend" TargetMode="External" /><Relationship Type="http://schemas.openxmlformats.org/officeDocument/2006/relationships/hyperlink" Id="rId9" Target="https://www.pfizer.com/news/press-release/press-release-detail/pfizer-invites-public-view-and-listen-webcast-august-4?utm_source=openai" TargetMode="External" /><Relationship Type="http://schemas.openxmlformats.org/officeDocument/2006/relationships/hyperlink" Id="rId13" Target="https://www.pfizer.com/news/press-release/press-release-detail/pfizer-reaffirms-full-year-2025-eps-guidance-and-provides?utm_source=openai" TargetMode="External" /><Relationship Type="http://schemas.openxmlformats.org/officeDocument/2006/relationships/hyperlink" Id="rId22" Target="https://www.pfizer.com/news/press-release/press-release-detail/robust-phase-2b-efficacy-and-favorable-tolerability-support" TargetMode="External" /><Relationship Type="http://schemas.openxmlformats.org/officeDocument/2006/relationships/hyperlink" Id="rId15" Target="https://www.pfizer.com/news/press-release/press-release-detail/us-fda-approves-padcevr-plus-keytrudar-neoadjuvant-and" TargetMode="External" /><Relationship Type="http://schemas.openxmlformats.org/officeDocument/2006/relationships/hyperlink" Id="rId18" Target="https://www.pfizer.com/newsroom/press-releases" TargetMode="External" /><Relationship Type="http://schemas.openxmlformats.org/officeDocument/2006/relationships/hyperlink" Id="rId11" Target="https://www.sec.gov/Archives/edgar/data/78003/000007800326000054/pfe-20260329.htm" TargetMode="External" /><Relationship Type="http://schemas.openxmlformats.org/officeDocument/2006/relationships/hyperlink" Id="rId10" Target="https://www.tipranks.com/stocks/pfe/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2026-08-04T01:05:35Z</dcterms:created>
  <dcterms:modified xsi:type="dcterms:W3CDTF">2026-08-04T01:05:35Z</dcterms:modified>
</cp:coreProperties>
</file>

<file path=docProps/custom.xml><?xml version="1.0" encoding="utf-8"?>
<Properties xmlns="http://schemas.openxmlformats.org/officeDocument/2006/custom-properties" xmlns:vt="http://schemas.openxmlformats.org/officeDocument/2006/docPropsVTypes"/>
</file>