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pfizer-pfe-q2-2026-earnings-preview"/>
    <w:p>
      <w:pPr>
        <w:pStyle w:val="Heading1"/>
      </w:pPr>
      <w:r>
        <w:t xml:space="preserve">Pfizer (PFE) Q2 2026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Pfizer is scheduled to report</w:t>
      </w:r>
      <w:r>
        <w:t xml:space="preserve"> </w:t>
      </w:r>
      <w:r>
        <w:rPr>
          <w:b/>
          <w:bCs/>
        </w:rPr>
        <w:t xml:space="preserve">Q2 2026 results before the U.S. market opens on Tuesday, August 4, 2026</w:t>
      </w:r>
      <w:r>
        <w:t xml:space="preserve">—</w:t>
      </w:r>
      <w:r>
        <w:rPr>
          <w:b/>
          <w:bCs/>
        </w:rPr>
        <w:t xml:space="preserve">today</w:t>
      </w:r>
      <w:r>
        <w:t xml:space="preserve">, not tomorrow. The earnings call is expected later this morning.</w:t>
      </w:r>
    </w:p>
    <w:bookmarkStart w:id="9" w:name="Xd892e2b25c51191697582478bc95dda61da2eb1"/>
    <w:p>
      <w:pPr>
        <w:pStyle w:val="Heading2"/>
      </w:pPr>
      <w:r>
        <w:t xml:space="preserve">Investment view: the quarter matters less than proof that the post-COVID base can fund the patent-cliff transition</w:t>
      </w:r>
    </w:p>
    <w:p>
      <w:pPr>
        <w:pStyle w:val="FirstParagraph"/>
      </w:pPr>
      <w:r>
        <w:t xml:space="preserve">Pfizer enters Q2 with a clearer long-term narrative than it had a year ago: growing Seagen-derived oncology brands, a reinforced obesity pipeline through Metsera, extended Vyndamax exclusivity in the U.S. through mid-2031 (subject to remaining litigation), and meaningful cost actions. But the near-term debate remains unresolved: can the company sustain enough growth from its non-COVID portfolio to offset declining COVID revenues, price pressure, and a multi-year loss-of-exclusivity (LOE) burden?</w:t>
      </w:r>
    </w:p>
    <w:p>
      <w:pPr>
        <w:pStyle w:val="BodyText"/>
      </w:pPr>
      <w:r>
        <w:t xml:space="preserve">The market is looking for</w:t>
      </w:r>
      <w:r>
        <w:t xml:space="preserve"> </w:t>
      </w:r>
      <m:oMath>
        <m:r>
          <m:t>14.4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0.68 in adjusted EPS</w:t>
      </w:r>
      <w:r>
        <w:t xml:space="preserve">, implying roughly</w:t>
      </w:r>
      <w:r>
        <w:t xml:space="preserve"> </w:t>
      </w:r>
      <w:r>
        <w:rPr>
          <w:b/>
          <w:bCs/>
        </w:rPr>
        <w:t xml:space="preserve">1.5% year-over-year revenue decline</w:t>
      </w:r>
      <w:r>
        <w:t xml:space="preserve">. That low bar does not necessarily make the report easy: investors will focus heavily on the</w:t>
      </w:r>
      <w:r>
        <w:t xml:space="preserve"> </w:t>
      </w:r>
      <w:r>
        <w:rPr>
          <w:i/>
          <w:iCs/>
        </w:rPr>
        <w:t xml:space="preserve">quality</w:t>
      </w:r>
      <w:r>
        <w:t xml:space="preserve"> </w:t>
      </w:r>
      <w:r>
        <w:t xml:space="preserve">of revenue, product-level durability, gross-margin progression, and whether Pfizer again maintains its</w:t>
      </w:r>
      <w:r>
        <w:t xml:space="preserve"> </w:t>
      </w:r>
      <w:r>
        <w:rPr>
          <w:b/>
          <w:bCs/>
        </w:rPr>
        <w:t xml:space="preserve">2026 guidance of</w:t>
      </w:r>
      <w:r>
        <w:rPr>
          <w:b/>
          <w:bCs/>
        </w:rPr>
        <w:t xml:space="preserve"> </w:t>
      </w:r>
      <m:oMath>
        <m:r>
          <m:t>59.5</m:t>
        </m:r>
        <m:r>
          <m:rPr>
            <m:sty m:val="p"/>
          </m:rPr>
          <m:t>–</m:t>
        </m:r>
      </m:oMath>
      <w:r>
        <w:rPr>
          <w:b/>
          <w:bCs/>
        </w:rPr>
        <w:t xml:space="preserve">62.5 billion in revenue and</w:t>
      </w:r>
      <w:r>
        <w:rPr>
          <w:b/>
          <w:bCs/>
        </w:rPr>
        <w:t xml:space="preserve"> </w:t>
      </w:r>
      <m:oMath>
        <m:r>
          <m:t>2.80</m:t>
        </m:r>
        <m:r>
          <m:rPr>
            <m:sty m:val="p"/>
          </m:rPr>
          <m:t>–</m:t>
        </m:r>
      </m:oMath>
      <w:r>
        <w:rPr>
          <w:b/>
          <w:bCs/>
        </w:rPr>
        <w:t xml:space="preserve">3.00 in adjusted EPS</w:t>
      </w:r>
      <w:r>
        <w:t xml:space="preserve">.</w:t>
      </w:r>
    </w:p>
    <w:p>
      <w:pPr>
        <w:pStyle w:val="BodyText"/>
      </w:pPr>
      <w:r>
        <w:t xml:space="preserve">PFE closed at</w:t>
      </w:r>
      <w:r>
        <w:t xml:space="preserve"> </w:t>
      </w:r>
      <w:r>
        <w:rPr>
          <w:b/>
          <w:bCs/>
        </w:rPr>
        <w:t xml:space="preserve">$25.04 on August 3</w:t>
      </w:r>
      <w:r>
        <w:t xml:space="preserve">, up about 4.9% from July 1, suggesting some positioning ahead of the event but not a decisive re-rating.</w:t>
      </w:r>
    </w:p>
    <w:bookmarkEnd w:id="9"/>
    <w:bookmarkStart w:id="10" w:name="what-investors-expect"/>
    <w:p>
      <w:pPr>
        <w:pStyle w:val="Heading2"/>
      </w:pPr>
      <w:r>
        <w:t xml:space="preserve">What investors expect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$14.4B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$0.68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revenue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59.5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62.5B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adjusted 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2.80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3.00</w:t>
            </w:r>
          </w:p>
        </w:tc>
      </w:tr>
    </w:tbl>
    <w:p>
      <w:pPr>
        <w:pStyle w:val="BodyText"/>
      </w:pPr>
      <w:r>
        <w:t xml:space="preserve">The critical question is whether a headline beat is supported by recurring demand or by favorable timing, price, FX, and reserve items.</w:t>
      </w:r>
    </w:p>
    <w:bookmarkEnd w:id="10"/>
    <w:bookmarkStart w:id="13" w:name="why-the-setup-is-mixed"/>
    <w:p>
      <w:pPr>
        <w:pStyle w:val="Heading2"/>
      </w:pPr>
      <w:r>
        <w:t xml:space="preserve">Why the setup is mixed</w:t>
      </w:r>
    </w:p>
    <w:bookmarkStart w:id="11" w:name="X192da713f2d81f904f1d1ee5a0f43ba07b7d0fb"/>
    <w:p>
      <w:pPr>
        <w:pStyle w:val="Heading3"/>
      </w:pPr>
      <w:r>
        <w:t xml:space="preserve">The bull case: the growth portfolio is working</w:t>
      </w:r>
    </w:p>
    <w:p>
      <w:pPr>
        <w:pStyle w:val="FirstParagraph"/>
      </w:pPr>
      <w:r>
        <w:t xml:space="preserve">In Q1, total revenue rose 5% reported and 2% operationally; excluding Comirnaty and Paxlovid, revenue grew</w:t>
      </w:r>
      <w:r>
        <w:t xml:space="preserve"> </w:t>
      </w:r>
      <w:r>
        <w:rPr>
          <w:b/>
          <w:bCs/>
        </w:rPr>
        <w:t xml:space="preserve">7% operationally</w:t>
      </w:r>
      <w:r>
        <w:t xml:space="preserve">. Pfizer’s launched and acquired products grew</w:t>
      </w:r>
      <w:r>
        <w:t xml:space="preserve"> </w:t>
      </w:r>
      <w:r>
        <w:rPr>
          <w:b/>
          <w:bCs/>
        </w:rPr>
        <w:t xml:space="preserve">22% operationally</w:t>
      </w:r>
      <w:r>
        <w:t xml:space="preserve">, providing evidence that the Seagen, Biohaven, and related portfolio investments are generating commercial traction.</w:t>
      </w:r>
    </w:p>
    <w:p>
      <w:pPr>
        <w:pStyle w:val="BodyText"/>
      </w:pPr>
      <w:r>
        <w:t xml:space="preserve">The principal Q1 growth contributors were: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Padcev:</w:t>
      </w:r>
      <w:r>
        <w:t xml:space="preserve"> </w:t>
      </w:r>
      <w:r>
        <w:t xml:space="preserve">$591M, up 39% operationally.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Eliquis:</w:t>
      </w:r>
      <w:r>
        <w:t xml:space="preserve"> </w:t>
      </w:r>
      <w:r>
        <w:t xml:space="preserve">$2.17B, up 8% operationally.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Nurtec:</w:t>
      </w:r>
      <w:r>
        <w:t xml:space="preserve"> </w:t>
      </w:r>
      <w:r>
        <w:t xml:space="preserve">$353M, up 41% operationally.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Lorbrena:</w:t>
      </w:r>
      <w:r>
        <w:t xml:space="preserve"> </w:t>
      </w:r>
      <w:r>
        <w:t xml:space="preserve">$305M, up 32% operationally.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Oncology biosimilars:</w:t>
      </w:r>
      <w:r>
        <w:t xml:space="preserve"> </w:t>
      </w:r>
      <w:r>
        <w:t xml:space="preserve">$409M, up 52% operationally.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Vyndaqel family:</w:t>
      </w:r>
      <w:r>
        <w:t xml:space="preserve"> </w:t>
      </w:r>
      <w:r>
        <w:t xml:space="preserve">$1.60B, up 4% operationally.</w:t>
      </w:r>
    </w:p>
    <w:p>
      <w:pPr>
        <w:pStyle w:val="FirstParagraph"/>
      </w:pPr>
      <w:r>
        <w:t xml:space="preserve">For Q2, sustained momentum in</w:t>
      </w:r>
      <w:r>
        <w:t xml:space="preserve"> </w:t>
      </w:r>
      <w:r>
        <w:rPr>
          <w:b/>
          <w:bCs/>
        </w:rPr>
        <w:t xml:space="preserve">Padcev, Lorbrena, Nurtec, Vyndaqel, and the acquired oncology portfolio</w:t>
      </w:r>
      <w:r>
        <w:t xml:space="preserve"> </w:t>
      </w:r>
      <w:r>
        <w:t xml:space="preserve">would reinforce the premise that Pfizer can bridge its medium-term LOE gap.</w:t>
      </w:r>
    </w:p>
    <w:bookmarkEnd w:id="11"/>
    <w:bookmarkStart w:id="12" w:name="X706bd496a8307891c5c8fdc4d1a99d0424b46fa"/>
    <w:p>
      <w:pPr>
        <w:pStyle w:val="Heading3"/>
      </w:pPr>
      <w:r>
        <w:t xml:space="preserve">The bear case: some Q1 strength may not repeat cleanly</w:t>
      </w:r>
    </w:p>
    <w:p>
      <w:pPr>
        <w:pStyle w:val="FirstParagraph"/>
      </w:pPr>
      <w:r>
        <w:t xml:space="preserve">Several Q1 growth lines contained elements that investors will discount unless demand remains strong in Q2: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Nurtec</w:t>
      </w:r>
      <w:r>
        <w:t xml:space="preserve"> </w:t>
      </w:r>
      <w:r>
        <w:t xml:space="preserve">benefited from one-time U.S. net-price favorability.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Oncology biosimilars</w:t>
      </w:r>
      <w:r>
        <w:t xml:space="preserve"> </w:t>
      </w:r>
      <w:r>
        <w:t xml:space="preserve">benefited from favorable U.S. net pricing and supply recovery, both characterized as partially one-time.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Abrysvo</w:t>
      </w:r>
      <w:r>
        <w:t xml:space="preserve"> </w:t>
      </w:r>
      <w:r>
        <w:t xml:space="preserve">benefited from a lower returns provision, while underlying U.S. vaccination rates were lower.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Vyndaqel</w:t>
      </w:r>
      <w:r>
        <w:t xml:space="preserve"> </w:t>
      </w:r>
      <w:r>
        <w:t xml:space="preserve">grew internationally, but U.S. revenue declined because of new payer contracts and net-price erosion.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Eliquis</w:t>
      </w:r>
      <w:r>
        <w:t xml:space="preserve"> </w:t>
      </w:r>
      <w:r>
        <w:t xml:space="preserve">faces the impact of IRA-negotiated pricing that became effective in January 2026, even as underlying demand remains resilient.</w:t>
      </w:r>
    </w:p>
    <w:p>
      <w:pPr>
        <w:pStyle w:val="FirstParagraph"/>
      </w:pPr>
      <w:r>
        <w:t xml:space="preserve">A quarter that beats solely through price/rebate timing, currency, or contract accounting would likely not change the market’s longer-term concerns.</w:t>
      </w:r>
    </w:p>
    <w:bookmarkEnd w:id="12"/>
    <w:bookmarkEnd w:id="13"/>
    <w:bookmarkStart w:id="14" w:name="X6bfc1825afc4b1c6f0d739b987c89391db13b1b"/>
    <w:p>
      <w:pPr>
        <w:pStyle w:val="Heading2"/>
      </w:pPr>
      <w:r>
        <w:t xml:space="preserve">Product dashboard: the numbers that matter most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Product / franchise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operational growth</w:t>
            </w:r>
          </w:p>
        </w:tc>
        <w:tc>
          <w:tcPr/>
          <w:p>
            <w:pPr>
              <w:pStyle w:val="Compact"/>
            </w:pPr>
            <w:r>
              <w:t xml:space="preserve">What to watch in Q2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Eliquis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$2.17B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+8%</w:t>
            </w:r>
          </w:p>
        </w:tc>
        <w:tc>
          <w:tcPr/>
          <w:p>
            <w:pPr>
              <w:pStyle w:val="Compact"/>
            </w:pPr>
            <w:r>
              <w:t xml:space="preserve">Demand resilience versus IRA pricing and international generic erosion.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Prevnar family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$1.69B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-1%</w:t>
            </w:r>
          </w:p>
        </w:tc>
        <w:tc>
          <w:tcPr/>
          <w:p>
            <w:pPr>
              <w:pStyle w:val="Compact"/>
            </w:pPr>
            <w:r>
              <w:t xml:space="preserve">U.S. adult/pediatric vaccination trends, competitive share, and international delivery timing.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Vyndaqel family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$1.60B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+4%</w:t>
            </w:r>
          </w:p>
        </w:tc>
        <w:tc>
          <w:tcPr/>
          <w:p>
            <w:pPr>
              <w:pStyle w:val="Compact"/>
            </w:pPr>
            <w:r>
              <w:t xml:space="preserve">U.S. price pressure versus international diagnosis/access growth; management’s confidence after patent settlements.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Ibrance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-1%</w:t>
            </w:r>
          </w:p>
        </w:tc>
        <w:tc>
          <w:tcPr/>
          <w:p>
            <w:pPr>
              <w:pStyle w:val="Compact"/>
            </w:pPr>
            <w:r>
              <w:t xml:space="preserve">Ability to manage price and buying-pattern volatility ahead of broader LOE pressure.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Padcev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$591M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+39%</w:t>
            </w:r>
          </w:p>
        </w:tc>
        <w:tc>
          <w:tcPr/>
          <w:p>
            <w:pPr>
              <w:pStyle w:val="Compact"/>
            </w:pPr>
            <w:r>
              <w:t xml:space="preserve">Continued uptake in metastatic urothelial cancer and early muscle-invasive bladder-cancer launch execution.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Nurtec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$353M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+41%</w:t>
            </w:r>
          </w:p>
        </w:tc>
        <w:tc>
          <w:tcPr/>
          <w:p>
            <w:pPr>
              <w:pStyle w:val="Compact"/>
            </w:pPr>
            <w:r>
              <w:t xml:space="preserve">Whether demand remains robust after Q1’s one-time net-price benefit.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Lorbrena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$305M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+32%</w:t>
            </w:r>
          </w:p>
        </w:tc>
        <w:tc>
          <w:tcPr/>
          <w:p>
            <w:pPr>
              <w:pStyle w:val="Compact"/>
            </w:pPr>
            <w:r>
              <w:t xml:space="preserve">Continued first-line ALK-positive NSCLC share gains.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Comirnaty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$232M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-59%</w:t>
            </w:r>
          </w:p>
        </w:tc>
        <w:tc>
          <w:tcPr/>
          <w:p>
            <w:pPr>
              <w:pStyle w:val="Compact"/>
            </w:pPr>
            <w:r>
              <w:t xml:space="preserve">Expectations for the fall vaccination season; this is more important for full-year phasing than Q2 results.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Paxlovid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$186M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-63%</w:t>
            </w:r>
          </w:p>
        </w:tc>
        <w:tc>
          <w:tcPr/>
          <w:p>
            <w:pPr>
              <w:pStyle w:val="Compact"/>
            </w:pPr>
            <w:r>
              <w:t xml:space="preserve">Whether low COVID prevalence continues to depress utilization and whether remaining contractual deliveries provide support.</w:t>
            </w:r>
          </w:p>
        </w:tc>
      </w:tr>
    </w:tbl>
    <w:bookmarkEnd w:id="14"/>
    <w:bookmarkStart w:id="16" w:name="guidance-is-the-centerpiece"/>
    <w:p>
      <w:pPr>
        <w:pStyle w:val="Heading2"/>
      </w:pPr>
      <w:r>
        <w:t xml:space="preserve">Guidance is the centerpiece</w:t>
      </w:r>
    </w:p>
    <w:p>
      <w:pPr>
        <w:pStyle w:val="FirstParagraph"/>
      </w:pPr>
      <w:r>
        <w:t xml:space="preserve">Pfizer reaffirmed its full-year outlook in May and again in June following the CFO-transition announcement: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Revenue:</w:t>
      </w:r>
      <w:r>
        <w:t xml:space="preserve"> </w:t>
      </w:r>
      <m:oMath>
        <m:r>
          <m:t>59.5</m:t>
        </m:r>
        <m:r>
          <m:t>B</m:t>
        </m:r>
        <m:r>
          <m:rPr>
            <m:sty m:val="p"/>
          </m:rPr>
          <m:t>–</m:t>
        </m:r>
      </m:oMath>
      <w:r>
        <w:t xml:space="preserve">62.5B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diluted EPS:</w:t>
      </w:r>
      <w:r>
        <w:t xml:space="preserve"> </w:t>
      </w:r>
      <m:oMath>
        <m:r>
          <m:t>2.80</m:t>
        </m:r>
        <m:r>
          <m:rPr>
            <m:sty m:val="p"/>
          </m:rPr>
          <m:t>–</m:t>
        </m:r>
      </m:oMath>
      <w:r>
        <w:t xml:space="preserve">3.00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SI&amp;A:</w:t>
      </w:r>
      <w:r>
        <w:t xml:space="preserve"> </w:t>
      </w:r>
      <m:oMath>
        <m:r>
          <m:t>12.5</m:t>
        </m:r>
        <m:r>
          <m:t>B</m:t>
        </m:r>
        <m:r>
          <m:rPr>
            <m:sty m:val="p"/>
          </m:rPr>
          <m:t>–</m:t>
        </m:r>
      </m:oMath>
      <w:r>
        <w:t xml:space="preserve">13.5B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R&amp;D:</w:t>
      </w:r>
      <w:r>
        <w:t xml:space="preserve"> </w:t>
      </w:r>
      <m:oMath>
        <m:r>
          <m:t>10.5</m:t>
        </m:r>
        <m:r>
          <m:t>B</m:t>
        </m:r>
        <m:r>
          <m:rPr>
            <m:sty m:val="p"/>
          </m:rPr>
          <m:t>–</m:t>
        </m:r>
      </m:oMath>
      <w:r>
        <w:t xml:space="preserve">11.5B</w:t>
      </w:r>
    </w:p>
    <w:p>
      <w:pPr>
        <w:pStyle w:val="FirstParagraph"/>
      </w:pPr>
      <w:r>
        <w:t xml:space="preserve">The guidance midpoint implies a back-half-weighted year, particularly because Comirnaty is seasonal and expected to contribute mostly during the fall/winter vaccination period. That means a Q2 beat alone will not be sufficient for an upgrade—but a cut would be particularly damaging because Pfizer’s valuation support rests on the idea that 2026 is a managed transition year rather than the beginning of another reset.</w:t>
      </w:r>
    </w:p>
    <w:bookmarkStart w:id="15" w:name="Xf9209ac77f61e45d02bad84a6242f7fa2a8f652"/>
    <w:p>
      <w:pPr>
        <w:pStyle w:val="Heading3"/>
      </w:pPr>
      <w:r>
        <w:t xml:space="preserve">Questions investors should ask management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How much of the Q2 result reflects sustainable demand versus timing, rebates, returns, or favorable price?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Has the outlook for Comirnaty changed following the narrower U.S. vaccine recommendation and lower utilization?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What is embedded in 2026 guidance for Paxlovid, contractual COVID deliveries, FX, and tariff-related costs?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Can gross margin remain in the mid-70% range while COVID mix falls and Pfizer ramps investment behind oncology and obesity?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 Pfizer still on track to deliver the bulk of its planned $7.2B of cumulative net cost savings by year-end 2026?</w:t>
      </w:r>
    </w:p>
    <w:bookmarkEnd w:id="15"/>
    <w:bookmarkEnd w:id="16"/>
    <w:bookmarkStart w:id="17" w:name="X7c45227c33510f5f3f236337cdfa1d7781315cb"/>
    <w:p>
      <w:pPr>
        <w:pStyle w:val="Heading2"/>
      </w:pPr>
      <w:r>
        <w:t xml:space="preserve">Margins, cash flow, and capital allocation: the secondary debate</w:t>
      </w:r>
    </w:p>
    <w:p>
      <w:pPr>
        <w:pStyle w:val="FirstParagraph"/>
      </w:pPr>
      <w:r>
        <w:t xml:space="preserve">Q1 adjusted EPS declined to</w:t>
      </w:r>
      <w:r>
        <w:t xml:space="preserve"> </w:t>
      </w:r>
      <w:r>
        <w:rPr>
          <w:b/>
          <w:bCs/>
        </w:rPr>
        <w:t xml:space="preserve">$0.75 from $0.92</w:t>
      </w:r>
      <w:r>
        <w:t xml:space="preserve">, despite revenue growth, because of tougher cost-of-sales comparisons, greater R&amp;D investment, and a normalized tax profile. Adjusted gross margin was approximately</w:t>
      </w:r>
      <w:r>
        <w:t xml:space="preserve"> </w:t>
      </w:r>
      <w:r>
        <w:rPr>
          <w:b/>
          <w:bCs/>
        </w:rPr>
        <w:t xml:space="preserve">76%</w:t>
      </w:r>
      <w:r>
        <w:t xml:space="preserve">, and management expects full-year gross margin in the mid-70% range.</w:t>
      </w:r>
    </w:p>
    <w:p>
      <w:pPr>
        <w:pStyle w:val="BodyText"/>
      </w:pPr>
      <w:r>
        <w:t xml:space="preserve">Investors should look for three things in Q2: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Cost of sales:</w:t>
      </w:r>
      <w:r>
        <w:t xml:space="preserve"> </w:t>
      </w:r>
      <w:r>
        <w:t xml:space="preserve">Q1 was pressured by the non-recurrence of a favorable accrued-royalty revision in Q1 2025. A cleaner Q2 margin profile would improve confidence in the manufacturing-optimization program.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R&amp;D discipline:</w:t>
      </w:r>
      <w:r>
        <w:t xml:space="preserve"> </w:t>
      </w:r>
      <w:r>
        <w:t xml:space="preserve">R&amp;D was up 11% operationally in Q1, driven largely by oncology and obesity. That spending is strategically justified, but needs to stay within the full-year envelope.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Deleveraging and the dividend:</w:t>
      </w:r>
      <w:r>
        <w:t xml:space="preserve"> </w:t>
      </w:r>
      <w:r>
        <w:t xml:space="preserve">Pfizer ended Q1 with approximately</w:t>
      </w:r>
      <w:r>
        <w:t xml:space="preserve"> </w:t>
      </w:r>
      <w:r>
        <w:rPr>
          <w:b/>
          <w:bCs/>
        </w:rPr>
        <w:t xml:space="preserve">$60.6B of long-term debt</w:t>
      </w:r>
      <w:r>
        <w:t xml:space="preserve"> </w:t>
      </w:r>
      <w:r>
        <w:t xml:space="preserve">and leverage of roughly</w:t>
      </w:r>
      <w:r>
        <w:t xml:space="preserve"> </w:t>
      </w:r>
      <w:r>
        <w:rPr>
          <w:b/>
          <w:bCs/>
        </w:rPr>
        <w:t xml:space="preserve">2.8x</w:t>
      </w:r>
      <w:r>
        <w:t xml:space="preserve">. It has said the priority is reinvestment, maintaining and ultimately growing the dividend, and then resuming repurchases once balance-sheet conditions permit. No 2026 buybacks are embedded in guidance.</w:t>
      </w:r>
    </w:p>
    <w:p>
      <w:pPr>
        <w:pStyle w:val="FirstParagraph"/>
      </w:pPr>
      <w:r>
        <w:t xml:space="preserve">The June CFO transition adds an element of execution risk, though Pfizer reaffirmed guidance at the time. Dave Denton is set to leave on</w:t>
      </w:r>
      <w:r>
        <w:t xml:space="preserve"> </w:t>
      </w:r>
      <w:r>
        <w:rPr>
          <w:b/>
          <w:bCs/>
        </w:rPr>
        <w:t xml:space="preserve">August 15</w:t>
      </w:r>
      <w:r>
        <w:t xml:space="preserve">, with Cecile Guegan—previously SVP of Finance for the Global Biopharmaceutical Business—becoming interim CFO on</w:t>
      </w:r>
      <w:r>
        <w:t xml:space="preserve"> </w:t>
      </w:r>
      <w:r>
        <w:rPr>
          <w:b/>
          <w:bCs/>
        </w:rPr>
        <w:t xml:space="preserve">August 16</w:t>
      </w:r>
      <w:r>
        <w:t xml:space="preserve">.</w:t>
      </w:r>
    </w:p>
    <w:bookmarkEnd w:id="17"/>
    <w:bookmarkStart w:id="19" w:name="pipeline-and-catalyst-watch"/>
    <w:p>
      <w:pPr>
        <w:pStyle w:val="Heading2"/>
      </w:pPr>
      <w:r>
        <w:t xml:space="preserve">Pipeline and catalyst watch</w:t>
      </w:r>
    </w:p>
    <w:p>
      <w:pPr>
        <w:pStyle w:val="FirstParagraph"/>
      </w:pPr>
      <w:r>
        <w:t xml:space="preserve">Pfizer’s long-term case rests increasingly on pipeline conversion rather than legacy primary-care franchises.</w:t>
      </w:r>
    </w:p>
    <w:bookmarkStart w:id="18" w:name="near-term-items"/>
    <w:p>
      <w:pPr>
        <w:pStyle w:val="Heading3"/>
      </w:pPr>
      <w:r>
        <w:t xml:space="preserve">Near-term items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Padcev:</w:t>
      </w:r>
      <w:r>
        <w:t xml:space="preserve"> </w:t>
      </w:r>
      <w:r>
        <w:t xml:space="preserve">FDA action is expected on</w:t>
      </w:r>
      <w:r>
        <w:t xml:space="preserve"> </w:t>
      </w:r>
      <w:r>
        <w:rPr>
          <w:b/>
          <w:bCs/>
        </w:rPr>
        <w:t xml:space="preserve">August 17, 2026</w:t>
      </w:r>
      <w:r>
        <w:t xml:space="preserve"> </w:t>
      </w:r>
      <w:r>
        <w:t xml:space="preserve">for the proposed perioperative muscle-invasive bladder cancer indication, regardless of cisplatin eligibility. A favorable decision would broaden a key growth product’s addressable market.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Obesity / Metsera:</w:t>
      </w:r>
      <w:r>
        <w:t xml:space="preserve"> </w:t>
      </w:r>
      <w:r>
        <w:t xml:space="preserve">Investors will look for evidence that Pfizer remains on schedule to initiate approximately 10 Phase 3 obesity studies during 2026 and for updates on development timing for the monthly-dose candidates.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Oncology:</w:t>
      </w:r>
      <w:r>
        <w:t xml:space="preserve"> </w:t>
      </w:r>
      <w:r>
        <w:t xml:space="preserve">The company entered 2026 expecting a heavy slate of oncology milestones, including pivotal data for sigvotatug vedotin and mevrometostat. Updates on timing and confidence level matter as much as any individual Q2 financial line.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Pneumococcal vaccines:</w:t>
      </w:r>
      <w:r>
        <w:t xml:space="preserve"> </w:t>
      </w:r>
      <w:r>
        <w:t xml:space="preserve">Pfizer has initiated a Phase 3 program for a 25-valent pediatric candidate and plans to bring a 35-valent adult candidate into clinical development. These are longer-duration strategic assets, but important in defending the vaccine franchise.</w:t>
      </w:r>
    </w:p>
    <w:bookmarkEnd w:id="18"/>
    <w:bookmarkEnd w:id="19"/>
    <w:bookmarkStart w:id="20" w:name="key-risks-heading-into-the-print"/>
    <w:p>
      <w:pPr>
        <w:pStyle w:val="Heading2"/>
      </w:pPr>
      <w:r>
        <w:t xml:space="preserve">Key risks heading into the print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COVID downside:</w:t>
      </w:r>
      <w:r>
        <w:t xml:space="preserve"> </w:t>
      </w:r>
      <w:r>
        <w:t xml:space="preserve">Comirnaty and Paxlovid are now small but volatile contributors. Weak utilization, returns, or changed public-health recommendations could pressure the back-half guide.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Pricing and reimbursement:</w:t>
      </w:r>
      <w:r>
        <w:t xml:space="preserve"> </w:t>
      </w:r>
      <w:r>
        <w:t xml:space="preserve">Eliquis, Vyndaqel, Ibrance, Xtandi, and other products face varying forms of U.S. pricing pressure, IRA effects, or international erosion.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Patent cliff:</w:t>
      </w:r>
      <w:r>
        <w:t xml:space="preserve"> </w:t>
      </w:r>
      <w:r>
        <w:t xml:space="preserve">Pfizer still expects approximately</w:t>
      </w:r>
      <w:r>
        <w:t xml:space="preserve"> </w:t>
      </w:r>
      <w:r>
        <w:rPr>
          <w:b/>
          <w:bCs/>
        </w:rPr>
        <w:t xml:space="preserve">$1.5B</w:t>
      </w:r>
      <w:r>
        <w:t xml:space="preserve"> </w:t>
      </w:r>
      <w:r>
        <w:t xml:space="preserve">of 2026 revenue headwind from recent or expected generic/biosimilar competition, with larger LOE pressure through 2030.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Execution against acquired assets:</w:t>
      </w:r>
      <w:r>
        <w:t xml:space="preserve"> </w:t>
      </w:r>
      <w:r>
        <w:t xml:space="preserve">The investment thesis assumes continued commercial expansion of Seagen assets and eventual successful conversion of the obesity pipeline.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Tariffs and policy:</w:t>
      </w:r>
      <w:r>
        <w:t xml:space="preserve"> </w:t>
      </w:r>
      <w:r>
        <w:t xml:space="preserve">Pfizer has identified uncertainty around U.S. pharmaceutical tariffs, manufacturing commitments, and drug-pricing policy as potential variables for costs and guidance.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Legal and contingent liabilities:</w:t>
      </w:r>
      <w:r>
        <w:t xml:space="preserve"> </w:t>
      </w:r>
      <w:r>
        <w:t xml:space="preserve">Pfizer retains material litigation exposure, and Q1 included legal costs and changes in fair value of contingent-consideration liabilities.</w: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likely to be a</w:t>
      </w:r>
      <w:r>
        <w:t xml:space="preserve"> </w:t>
      </w:r>
      <w:r>
        <w:rPr>
          <w:b/>
          <w:bCs/>
        </w:rPr>
        <w:t xml:space="preserve">guidance-and-quality-of-growth</w:t>
      </w:r>
      <w:r>
        <w:t xml:space="preserve"> </w:t>
      </w:r>
      <w:r>
        <w:t xml:space="preserve">report rather than a simple EPS event.</w:t>
      </w:r>
    </w:p>
    <w:p>
      <w:pPr>
        <w:pStyle w:val="BodyText"/>
      </w:pPr>
      <w:r>
        <w:t xml:space="preserve">A constructive outcome would include:</w:t>
      </w:r>
    </w:p>
    <w:p>
      <w:pPr>
        <w:pStyle w:val="Compact"/>
        <w:numPr>
          <w:ilvl w:val="0"/>
          <w:numId w:val="1008"/>
        </w:numPr>
      </w:pPr>
      <w:r>
        <w:t xml:space="preserve">Revenue and EPS at or above expectations;</w:t>
      </w:r>
    </w:p>
    <w:p>
      <w:pPr>
        <w:pStyle w:val="Compact"/>
        <w:numPr>
          <w:ilvl w:val="0"/>
          <w:numId w:val="1008"/>
        </w:numPr>
      </w:pPr>
      <w:r>
        <w:t xml:space="preserve">Continued double-digit growth from Padcev, Nurtec, Lorbrena, and acquired oncology products;</w:t>
      </w:r>
    </w:p>
    <w:p>
      <w:pPr>
        <w:pStyle w:val="Compact"/>
        <w:numPr>
          <w:ilvl w:val="0"/>
          <w:numId w:val="1008"/>
        </w:numPr>
      </w:pPr>
      <w:r>
        <w:t xml:space="preserve">Evidence that Q1’s favorable one-time factors are not masking weak underlying trends;</w:t>
      </w:r>
    </w:p>
    <w:p>
      <w:pPr>
        <w:pStyle w:val="Compact"/>
        <w:numPr>
          <w:ilvl w:val="0"/>
          <w:numId w:val="1008"/>
        </w:numPr>
      </w:pPr>
      <w:r>
        <w:t xml:space="preserve">Stable gross-margin expectations;</w:t>
      </w:r>
    </w:p>
    <w:p>
      <w:pPr>
        <w:pStyle w:val="Compact"/>
        <w:numPr>
          <w:ilvl w:val="0"/>
          <w:numId w:val="1008"/>
        </w:numPr>
      </w:pPr>
      <w:r>
        <w:t xml:space="preserve">Reaffirmed 2026 guidance; and</w:t>
      </w:r>
    </w:p>
    <w:p>
      <w:pPr>
        <w:pStyle w:val="Compact"/>
        <w:numPr>
          <w:ilvl w:val="0"/>
          <w:numId w:val="1008"/>
        </w:numPr>
      </w:pPr>
      <w:r>
        <w:t xml:space="preserve">Credible commentary on the late-2026/2027 bridge to post-2028 growth.</w:t>
      </w:r>
    </w:p>
    <w:p>
      <w:pPr>
        <w:pStyle w:val="FirstParagraph"/>
      </w:pPr>
      <w:r>
        <w:t xml:space="preserve">A disappointing outcome would be a guide reduction, renewed weakness in core vaccines/COVID, deceleration in the acquired-growth portfolio, or margin pressure that raises doubts about Pfizer’s ability to invest in oncology and obesity while protecting the dividend and deleveraging.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 reviewed: Pfizer Q1 2026 earnings release and earnings-call transcript; Q1 2026 Form 10-Q; June 18, 2026 CFO-transition and guidance-reaffirmation filings; recent PFE market news; and historical share-price data through August 3, 2026.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2026-08-04T01:03:38Z</dcterms:created>
  <dcterms:modified xsi:type="dcterms:W3CDTF">2026-08-04T01:03:38Z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