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gr-earnings-predictions--2026-08-04"/>
    <w:p>
      <w:pPr>
        <w:pStyle w:val="Heading1"/>
      </w:pPr>
      <w:r>
        <w:t xml:space="preserve">PGR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FY-year combined-rattarget -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&lt;96 vs. running ~88 (Y2026)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22026 capital return/special dividend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6.6</m:t>
              </m:r>
              <m:r>
                <m:t>B</m:t>
              </m:r>
              <m:r>
                <m:t>d</m:t>
              </m:r>
              <m:r>
                <m:t>i</m:t>
              </m:r>
              <m:r>
                <m:t>v</m:t>
              </m:r>
              <m:r>
                <m:rPr>
                  <m:sty m:val="p"/>
                </m:rPr>
                <m:t>+</m:t>
              </m:r>
              <m:r>
                <m:t> </m:t>
              </m:r>
            </m:oMath>
            <w:r>
              <w:t xml:space="preserve">2.3B buyback vs. cons ~$6.6B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Growth stance (media spend / PIF)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grow as fast as possible at ≤96 CR, PIF ~+7% vs. cons ~+7%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July shopping/conversion &amp; margin trend (qualitative)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soft-market rate cuts, CR drift toward ~90 vs. cons ~88 (July, reported 8/19)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The bad print is already in the tape (-9% on 7/15) and shares have clawed back from ~</w:t>
            </w:r>
            <m:oMath>
              <m:r>
                <m:t>205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210, so the call is a narrative-only event with no fresh numbers until the July monthly release on 8/19. A well-executed Robinsons deep-dive plus a constructive capital-return signal (~$13B excess) supports a small day-1 relief bid, but out-period math is negative: sell-side keeps trimming as the combined ratio normalizes toward the 96 target and growth decelerates (NPE +6% vs +18% LY, PIF +7% vs +15% LY). Absent a hard capital-return commitment, the modest pop fades against downward EPS revisions, leaving a slightly negative 5-day residual that broadly stabilizes near pre-call levels.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2026-08-04T01:22:51Z</dcterms:created>
  <dcterms:modified xsi:type="dcterms:W3CDTF">2026-08-04T01:22:51Z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