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Progressive (PGR) before writing the preview. Let me gather recent earnings, filings, news, and stock price data.The Q2 2026 earnings release is already out (July 15). Let me read it, plus the prior quarter's call and recent monthly data, and get stock price context.The Q2 financials are already public (released July 15), and I see the stock dropped ~10% that day. Let me get more context: the prior quarter's call and recent analyst/news sentiment.I now have a comprehensive picture. One note on Progressive's reporting cadence: unlike most companies,</w:t>
      </w:r>
      <w:r>
        <w:t xml:space="preserve"> </w:t>
      </w:r>
      <w:r>
        <w:rPr>
          <w:b/>
          <w:bCs/>
        </w:rPr>
        <w:t xml:space="preserve">PGR reports monthly and already published its full Q2 numbers on July 15</w:t>
      </w:r>
      <w:r>
        <w:t xml:space="preserve"> </w:t>
      </w:r>
      <w:r>
        <w:t xml:space="preserve">— so tomorrow's event is the</w:t>
      </w:r>
      <w:r>
        <w:t xml:space="preserve"> </w:t>
      </w:r>
      <w:r>
        <w:rPr>
          <w:i/>
          <w:iCs/>
        </w:rPr>
        <w:t xml:space="preserve">conference call</w:t>
      </w:r>
      <w:r>
        <w:t xml:space="preserve">, not the print. That reframes what matters. Let me write the preview.</w:t>
      </w:r>
    </w:p>
    <w:bookmarkStart w:id="19" w:name="X11ad2abc0055ca19ed12e3ad1f287edf73f877f"/>
    <w:p>
      <w:pPr>
        <w:pStyle w:val="Heading1"/>
      </w:pPr>
      <w:r>
        <w:t xml:space="preserve">Progressive (PGR) — Q2 2026 Earnings Call Preview</w:t>
      </w:r>
    </w:p>
    <w:bookmarkStart w:id="9" w:name="Xc1a5ee75fb4f89044969dac5c93a5d13ce7deb7"/>
    <w:p>
      <w:pPr>
        <w:pStyle w:val="Heading3"/>
      </w:pPr>
      <w:r>
        <w:t xml:space="preserve">Call: Tuesday, August 4, 2026, 9:30 a.m. ET | CEO Tricia Griffith &amp; CFO Andrew Quigg</w:t>
      </w:r>
    </w:p>
    <w:p>
      <w:r>
        <w:pict>
          <v:rect style="width:0;height:1.5pt" o:hralign="center" o:hrstd="t" o:hr="t"/>
        </w:pict>
      </w:r>
    </w:p>
    <w:bookmarkEnd w:id="9"/>
    <w:bookmarkStart w:id="10" w:name="X02cbf6d910c3796e5c54271d20dfa6fb8dd0a34"/>
    <w:p>
      <w:pPr>
        <w:pStyle w:val="Heading2"/>
      </w:pPr>
      <w:r>
        <w:t xml:space="preserve">The single most important thing to understand going in</w:t>
      </w:r>
    </w:p>
    <w:p>
      <w:pPr>
        <w:pStyle w:val="FirstParagraph"/>
      </w:pPr>
      <w:r>
        <w:t xml:space="preserve">Progressive is not a typical "will they beat the number" event.</w:t>
      </w:r>
      <w:r>
        <w:t xml:space="preserve"> </w:t>
      </w:r>
      <w:r>
        <w:rPr>
          <w:b/>
          <w:bCs/>
        </w:rPr>
        <w:t xml:space="preserve">The company reports monthly, and it already released full Q2/June results on July 15.</w:t>
      </w:r>
      <w:r>
        <w:t xml:space="preserve"> </w:t>
      </w:r>
      <w:r>
        <w:t xml:space="preserve">The financials below are known. What is</w:t>
      </w:r>
      <w:r>
        <w:t xml:space="preserve"> </w:t>
      </w:r>
      <w:r>
        <w:rPr>
          <w:i/>
          <w:iCs/>
        </w:rPr>
        <w:t xml:space="preserve">not</w:t>
      </w:r>
      <w:r>
        <w:t xml:space="preserve"> </w:t>
      </w:r>
      <w:r>
        <w:t xml:space="preserve">known — and what tomorrow's 90-minute call is built around — is management's framing of (1) decelerating growth against normalizing margins, (2) an announced ~45-minute deep-dive on the</w:t>
      </w:r>
      <w:r>
        <w:t xml:space="preserve"> </w:t>
      </w:r>
      <w:r>
        <w:rPr>
          <w:b/>
          <w:bCs/>
        </w:rPr>
        <w:t xml:space="preserve">"Robinsons" (bundled home + auto) segment</w:t>
      </w:r>
      <w:r>
        <w:t xml:space="preserve">, and (3) what to do with a mountain of excess capital. This is also</w:t>
      </w:r>
      <w:r>
        <w:t xml:space="preserve"> </w:t>
      </w:r>
      <w:r>
        <w:rPr>
          <w:b/>
          <w:bCs/>
        </w:rPr>
        <w:t xml:space="preserve">Andrew Quigg's first call as CFO</w:t>
      </w:r>
      <w:r>
        <w:t xml:space="preserve"> </w:t>
      </w:r>
      <w:r>
        <w:t xml:space="preserve">following John Sauerland's July retirement.</w:t>
      </w:r>
    </w:p>
    <w:p>
      <w:pPr>
        <w:pStyle w:val="BodyText"/>
      </w:pPr>
      <w:r>
        <w:t xml:space="preserve">The market has already voted on the numbers: PGR fell from ~</w:t>
      </w:r>
      <m:oMath>
        <m:r>
          <m:t>226</m:t>
        </m:r>
        <m:r>
          <m:rPr>
            <m:sty m:val="p"/>
          </m:rPr>
          <m:t>(</m:t>
        </m:r>
        <m:r>
          <m:t>J</m:t>
        </m:r>
        <m:r>
          <m:t>u</m:t>
        </m:r>
        <m:r>
          <m:t>l</m:t>
        </m:r>
        <m:r>
          <m:t>y</m:t>
        </m:r>
        <m:r>
          <m:t>14</m:t>
        </m:r>
        <m:r>
          <m:rPr>
            <m:sty m:val="p"/>
          </m:rPr>
          <m:t>)</m:t>
        </m:r>
        <m:r>
          <m:t>t</m:t>
        </m:r>
        <m:r>
          <m:t>o</m:t>
        </m:r>
        <m:r>
          <m:t> </m:t>
        </m:r>
      </m:oMath>
      <w:r>
        <w:t xml:space="preserve">205 on July 15 — roughly a</w:t>
      </w:r>
      <w:r>
        <w:t xml:space="preserve"> </w:t>
      </w:r>
      <w:r>
        <w:rPr>
          <w:b/>
          <w:bCs/>
        </w:rPr>
        <w:t xml:space="preserve">-9% one-day reaction</w:t>
      </w:r>
      <w:r>
        <w:t xml:space="preserve"> </w:t>
      </w:r>
      <w:r>
        <w:t xml:space="preserve">to the June combined-ratio deterioration — and has since clawed back to ~$210. So the print is a known negative; the call is about whether management can reset the narrative toward the growth runway.</w:t>
      </w:r>
    </w:p>
    <w:p>
      <w:r>
        <w:pict>
          <v:rect style="width:0;height:1.5pt" o:hralign="center" o:hrstd="t" o:hr="t"/>
        </w:pict>
      </w:r>
    </w:p>
    <w:bookmarkEnd w:id="10"/>
    <w:bookmarkStart w:id="11" w:name="q2-2026-results-recap-already-public"/>
    <w:p>
      <w:pPr>
        <w:pStyle w:val="Heading2"/>
      </w:pPr>
      <w:r>
        <w:t xml:space="preserve">Q2 2026 results recap (already public)</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w:t>
            </w:r>
          </w:p>
        </w:tc>
        <w:tc>
          <w:tcPr/>
          <w:p>
            <w:pPr>
              <w:pStyle w:val="Compact"/>
            </w:pPr>
            <w:r>
              <w:t xml:space="preserve">Q2 2025</w:t>
            </w:r>
          </w:p>
        </w:tc>
        <w:tc>
          <w:tcPr/>
          <w:p>
            <w:pPr>
              <w:pStyle w:val="Compact"/>
            </w:pPr>
            <w:r>
              <w:t xml:space="preserve">Change</w:t>
            </w:r>
          </w:p>
        </w:tc>
      </w:tr>
      <w:tr>
        <w:tc>
          <w:tcPr/>
          <w:p>
            <w:pPr>
              <w:pStyle w:val="Compact"/>
            </w:pPr>
            <w:r>
              <w:t xml:space="preserve">Net premiums written</w:t>
            </w:r>
          </w:p>
        </w:tc>
        <w:tc>
          <w:tcPr/>
          <w:p>
            <w:pPr>
              <w:pStyle w:val="Compact"/>
            </w:pPr>
            <w:r>
              <w:t xml:space="preserve">$21.08B</w:t>
            </w:r>
          </w:p>
        </w:tc>
        <w:tc>
          <w:tcPr/>
          <w:p>
            <w:pPr>
              <w:pStyle w:val="Compact"/>
            </w:pPr>
            <w:r>
              <w:t xml:space="preserve">$20.08B</w:t>
            </w:r>
          </w:p>
        </w:tc>
        <w:tc>
          <w:tcPr/>
          <w:p>
            <w:pPr>
              <w:pStyle w:val="Compact"/>
            </w:pPr>
            <w:r>
              <w:t xml:space="preserve">+5%</w:t>
            </w:r>
          </w:p>
        </w:tc>
      </w:tr>
      <w:tr>
        <w:tc>
          <w:tcPr/>
          <w:p>
            <w:pPr>
              <w:pStyle w:val="Compact"/>
            </w:pPr>
            <w:r>
              <w:t xml:space="preserve">Net premiums earned</w:t>
            </w:r>
          </w:p>
        </w:tc>
        <w:tc>
          <w:tcPr/>
          <w:p>
            <w:pPr>
              <w:pStyle w:val="Compact"/>
            </w:pPr>
            <w:r>
              <w:t xml:space="preserve">$21.57B</w:t>
            </w:r>
          </w:p>
        </w:tc>
        <w:tc>
          <w:tcPr/>
          <w:p>
            <w:pPr>
              <w:pStyle w:val="Compact"/>
            </w:pPr>
            <w:r>
              <w:t xml:space="preserve">$20.31B</w:t>
            </w:r>
          </w:p>
        </w:tc>
        <w:tc>
          <w:tcPr/>
          <w:p>
            <w:pPr>
              <w:pStyle w:val="Compact"/>
            </w:pPr>
            <w:r>
              <w:t xml:space="preserve">+6%</w:t>
            </w:r>
          </w:p>
        </w:tc>
      </w:tr>
      <w:tr>
        <w:tc>
          <w:tcPr/>
          <w:p>
            <w:pPr>
              <w:pStyle w:val="Compact"/>
            </w:pPr>
            <w:r>
              <w:t xml:space="preserve">Net income</w:t>
            </w:r>
          </w:p>
        </w:tc>
        <w:tc>
          <w:tcPr/>
          <w:p>
            <w:pPr>
              <w:pStyle w:val="Compact"/>
            </w:pPr>
            <w:r>
              <w:t xml:space="preserve">$3.31B</w:t>
            </w:r>
          </w:p>
        </w:tc>
        <w:tc>
          <w:tcPr/>
          <w:p>
            <w:pPr>
              <w:pStyle w:val="Compact"/>
            </w:pPr>
            <w:r>
              <w:t xml:space="preserve">$3.18B</w:t>
            </w:r>
          </w:p>
        </w:tc>
        <w:tc>
          <w:tcPr/>
          <w:p>
            <w:pPr>
              <w:pStyle w:val="Compact"/>
            </w:pPr>
            <w:r>
              <w:t xml:space="preserve">+4%</w:t>
            </w:r>
          </w:p>
        </w:tc>
      </w:tr>
      <w:tr>
        <w:tc>
          <w:tcPr/>
          <w:p>
            <w:pPr>
              <w:pStyle w:val="Compact"/>
            </w:pPr>
            <w:r>
              <w:t xml:space="preserve">Diluted EPS</w:t>
            </w:r>
          </w:p>
        </w:tc>
        <w:tc>
          <w:tcPr/>
          <w:p>
            <w:pPr>
              <w:pStyle w:val="Compact"/>
            </w:pPr>
            <w:r>
              <w:t xml:space="preserve">$5.67</w:t>
            </w:r>
          </w:p>
        </w:tc>
        <w:tc>
          <w:tcPr/>
          <w:p>
            <w:pPr>
              <w:pStyle w:val="Compact"/>
            </w:pPr>
            <w:r>
              <w:t xml:space="preserve">$5.40</w:t>
            </w:r>
          </w:p>
        </w:tc>
        <w:tc>
          <w:tcPr/>
          <w:p>
            <w:pPr>
              <w:pStyle w:val="Compact"/>
            </w:pPr>
            <w:r>
              <w:t xml:space="preserve">+5%</w:t>
            </w:r>
          </w:p>
        </w:tc>
      </w:tr>
      <w:tr>
        <w:tc>
          <w:tcPr/>
          <w:p>
            <w:pPr>
              <w:pStyle w:val="Compact"/>
            </w:pPr>
            <w:r>
              <w:rPr>
                <w:b/>
                <w:bCs/>
              </w:rPr>
              <w:t xml:space="preserve">Combined ratio (quarter)</w:t>
            </w:r>
          </w:p>
        </w:tc>
        <w:tc>
          <w:tcPr/>
          <w:p>
            <w:pPr>
              <w:pStyle w:val="Compact"/>
            </w:pPr>
            <w:r>
              <w:rPr>
                <w:b/>
                <w:bCs/>
              </w:rPr>
              <w:t xml:space="preserve">87.3</w:t>
            </w:r>
          </w:p>
        </w:tc>
        <w:tc>
          <w:tcPr/>
          <w:p>
            <w:pPr>
              <w:pStyle w:val="Compact"/>
            </w:pPr>
            <w:r>
              <w:rPr>
                <w:b/>
                <w:bCs/>
              </w:rPr>
              <w:t xml:space="preserve">86.2</w:t>
            </w:r>
          </w:p>
        </w:tc>
        <w:tc>
          <w:tcPr/>
          <w:p>
            <w:pPr>
              <w:pStyle w:val="Compact"/>
            </w:pPr>
            <w:r>
              <w:rPr>
                <w:b/>
                <w:bCs/>
              </w:rPr>
              <w:t xml:space="preserve">+1.1 pts</w:t>
            </w:r>
          </w:p>
        </w:tc>
      </w:tr>
    </w:tbl>
    <w:p>
      <w:pPr>
        <w:pStyle w:val="BodyText"/>
      </w:pPr>
      <w:r>
        <w:rPr>
          <w:b/>
          <w:bCs/>
        </w:rPr>
        <w:t xml:space="preserve">The June "month" is what spooked people: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June metric</w:t>
            </w:r>
          </w:p>
        </w:tc>
        <w:tc>
          <w:tcPr/>
          <w:p>
            <w:pPr>
              <w:pStyle w:val="Compact"/>
            </w:pPr>
            <w:r>
              <w:t xml:space="preserve">2026</w:t>
            </w:r>
          </w:p>
        </w:tc>
        <w:tc>
          <w:tcPr/>
          <w:p>
            <w:pPr>
              <w:pStyle w:val="Compact"/>
            </w:pPr>
            <w:r>
              <w:t xml:space="preserve">2025</w:t>
            </w:r>
          </w:p>
        </w:tc>
        <w:tc>
          <w:tcPr/>
          <w:p>
            <w:pPr>
              <w:pStyle w:val="Compact"/>
            </w:pPr>
            <w:r>
              <w:t xml:space="preserve">Change</w:t>
            </w:r>
          </w:p>
        </w:tc>
      </w:tr>
      <w:tr>
        <w:tc>
          <w:tcPr/>
          <w:p>
            <w:pPr>
              <w:pStyle w:val="Compact"/>
            </w:pPr>
            <w:r>
              <w:t xml:space="preserve">Net income</w:t>
            </w:r>
          </w:p>
        </w:tc>
        <w:tc>
          <w:tcPr/>
          <w:p>
            <w:pPr>
              <w:pStyle w:val="Compact"/>
            </w:pPr>
            <w:r>
              <w:t xml:space="preserve">$779M</w:t>
            </w:r>
          </w:p>
        </w:tc>
        <w:tc>
          <w:tcPr/>
          <w:p>
            <w:pPr>
              <w:pStyle w:val="Compact"/>
            </w:pPr>
            <w:r>
              <w:t xml:space="preserve">$1,124M</w:t>
            </w:r>
          </w:p>
        </w:tc>
        <w:tc>
          <w:tcPr/>
          <w:p>
            <w:pPr>
              <w:pStyle w:val="Compact"/>
            </w:pPr>
            <w:r>
              <w:rPr>
                <w:b/>
                <w:bCs/>
              </w:rPr>
              <w:t xml:space="preserve">-31%</w:t>
            </w:r>
          </w:p>
        </w:tc>
      </w:tr>
      <w:tr>
        <w:tc>
          <w:tcPr/>
          <w:p>
            <w:pPr>
              <w:pStyle w:val="Compact"/>
            </w:pPr>
            <w:r>
              <w:t xml:space="preserve">EPS</w:t>
            </w:r>
          </w:p>
        </w:tc>
        <w:tc>
          <w:tcPr/>
          <w:p>
            <w:pPr>
              <w:pStyle w:val="Compact"/>
            </w:pPr>
            <w:r>
              <w:t xml:space="preserve">$1.34</w:t>
            </w:r>
          </w:p>
        </w:tc>
        <w:tc>
          <w:tcPr/>
          <w:p>
            <w:pPr>
              <w:pStyle w:val="Compact"/>
            </w:pPr>
            <w:r>
              <w:t xml:space="preserve">$1.91</w:t>
            </w:r>
          </w:p>
        </w:tc>
        <w:tc>
          <w:tcPr/>
          <w:p>
            <w:pPr>
              <w:pStyle w:val="Compact"/>
            </w:pPr>
            <w:r>
              <w:rPr>
                <w:b/>
                <w:bCs/>
              </w:rPr>
              <w:t xml:space="preserve">-30%</w:t>
            </w:r>
          </w:p>
        </w:tc>
      </w:tr>
      <w:tr>
        <w:tc>
          <w:tcPr/>
          <w:p>
            <w:pPr>
              <w:pStyle w:val="Compact"/>
            </w:pPr>
            <w:r>
              <w:t xml:space="preserve">Combined ratio</w:t>
            </w:r>
          </w:p>
        </w:tc>
        <w:tc>
          <w:tcPr/>
          <w:p>
            <w:pPr>
              <w:pStyle w:val="Compact"/>
            </w:pPr>
            <w:r>
              <w:rPr>
                <w:b/>
                <w:bCs/>
              </w:rPr>
              <w:t xml:space="preserve">90.0</w:t>
            </w:r>
          </w:p>
        </w:tc>
        <w:tc>
          <w:tcPr/>
          <w:p>
            <w:pPr>
              <w:pStyle w:val="Compact"/>
            </w:pPr>
            <w:r>
              <w:t xml:space="preserve">86.6</w:t>
            </w:r>
          </w:p>
        </w:tc>
        <w:tc>
          <w:tcPr/>
          <w:p>
            <w:pPr>
              <w:pStyle w:val="Compact"/>
            </w:pPr>
            <w:r>
              <w:rPr>
                <w:b/>
                <w:bCs/>
              </w:rPr>
              <w:t xml:space="preserve">+3.4 pts</w:t>
            </w:r>
          </w:p>
        </w:tc>
      </w:tr>
      <w:tr>
        <w:tc>
          <w:tcPr/>
          <w:p>
            <w:pPr>
              <w:pStyle w:val="Compact"/>
            </w:pPr>
            <w:r>
              <w:t xml:space="preserve">NPW growth</w:t>
            </w:r>
          </w:p>
        </w:tc>
        <w:tc>
          <w:tcPr/>
          <w:p>
            <w:pPr>
              <w:pStyle w:val="Compact"/>
            </w:pPr>
            <w:r>
              <w:t xml:space="preserve">+3%</w:t>
            </w:r>
          </w:p>
        </w:tc>
        <w:tc>
          <w:tcPr/>
          <w:p>
            <w:pPr>
              <w:pStyle w:val="Compact"/>
            </w:pPr>
            <w:r>
              <w:t xml:space="preserve">—</w:t>
            </w:r>
          </w:p>
        </w:tc>
        <w:tc>
          <w:tcPr/>
          <w:p>
            <w:pPr>
              <w:pStyle w:val="Compact"/>
            </w:pPr>
            <w:r>
              <w:t xml:space="preserve">decelerating</w:t>
            </w:r>
          </w:p>
        </w:tc>
      </w:tr>
    </w:tbl>
    <w:p>
      <w:pPr>
        <w:pStyle w:val="BodyText"/>
      </w:pPr>
      <w:r>
        <w:t xml:space="preserve">Two things drove the ugly June headline: (1) underwriting margin compression (90.0 CR vs. 86.6), and (2) a **~</w:t>
      </w:r>
      <m:oMath>
        <m:r>
          <m:t>192</m:t>
        </m:r>
        <m:r>
          <m:t>M</m:t>
        </m:r>
        <m:r>
          <m:t>p</m:t>
        </m:r>
        <m:r>
          <m:t>r</m:t>
        </m:r>
        <m:r>
          <m:t>e</m:t>
        </m:r>
        <m:r>
          <m:t>t</m:t>
        </m:r>
        <m:r>
          <m:t>a</m:t>
        </m:r>
        <m:r>
          <m:t>x</m:t>
        </m:r>
        <m:r>
          <m:t>s</m:t>
        </m:r>
        <m:r>
          <m:t>w</m:t>
        </m:r>
        <m:r>
          <m:t>i</m:t>
        </m:r>
        <m:r>
          <m:t>n</m:t>
        </m:r>
        <m:r>
          <m:t>g</m:t>
        </m:r>
        <m:r>
          <m:t>i</m:t>
        </m:r>
        <m:r>
          <m:t>n</m:t>
        </m:r>
        <m:r>
          <m:t>r</m:t>
        </m:r>
        <m:r>
          <m:t>e</m:t>
        </m:r>
        <m:r>
          <m:t>a</m:t>
        </m:r>
        <m:r>
          <m:t>l</m:t>
        </m:r>
        <m:r>
          <m:t>i</m:t>
        </m:r>
        <m:r>
          <m:t>z</m:t>
        </m:r>
        <m:r>
          <m:t>e</m:t>
        </m:r>
        <m:r>
          <m:t>d</m:t>
        </m:r>
        <m:r>
          <m:t>g</m:t>
        </m:r>
        <m:r>
          <m:t>a</m:t>
        </m:r>
        <m:r>
          <m:t>i</m:t>
        </m:r>
        <m:r>
          <m:t>n</m:t>
        </m:r>
        <m:r>
          <m:t>s</m:t>
        </m:r>
        <m:r>
          <m:rPr>
            <m:sty m:val="p"/>
          </m:rPr>
          <m:t>*</m:t>
        </m:r>
        <m:r>
          <m:rPr>
            <m:sty m:val="p"/>
          </m:rPr>
          <m:t>*</m:t>
        </m:r>
        <m:r>
          <m:rPr>
            <m:sty m:val="p"/>
          </m:rPr>
          <m:t>(</m:t>
        </m:r>
        <m:r>
          <m:rPr>
            <m:sty m:val="p"/>
          </m:rPr>
          <m:t>−</m:t>
        </m:r>
      </m:oMath>
      <w:r>
        <w:t xml:space="preserve">13M vs. +$179M last June) — i.e., part of the 31% EPS drop is investment-mark noise, not core underwriting.</w:t>
      </w:r>
    </w:p>
    <w:p>
      <w:pPr>
        <w:pStyle w:val="BodyText"/>
      </w:pPr>
      <w:r>
        <w:rPr>
          <w:b/>
          <w:bCs/>
        </w:rPr>
        <w:t xml:space="preserve">Important nuance for the call:</w:t>
      </w:r>
      <w:r>
        <w:t xml:space="preserve"> </w:t>
      </w:r>
      <w:r>
        <w:t xml:space="preserve">June's numbers included a</w:t>
      </w:r>
      <w:r>
        <w:t xml:space="preserve"> </w:t>
      </w:r>
      <w:r>
        <w:rPr>
          <w:b/>
          <w:bCs/>
        </w:rPr>
        <w:t xml:space="preserve">favorable 11.7-point one-time actuarial methodology change</w:t>
      </w:r>
      <w:r>
        <w:t xml:space="preserve"> </w:t>
      </w:r>
      <w:r>
        <w:t xml:space="preserve">on the property book (a one-time IBNR adjustment that won't recur). That flattered property (June property CR of 65.6) — meaning the</w:t>
      </w:r>
      <w:r>
        <w:t xml:space="preserve"> </w:t>
      </w:r>
      <w:r>
        <w:rPr>
          <w:i/>
          <w:iCs/>
        </w:rPr>
        <w:t xml:space="preserve">underlying</w:t>
      </w:r>
      <w:r>
        <w:t xml:space="preserve"> </w:t>
      </w:r>
      <w:r>
        <w:t xml:space="preserve">auto trend is a touch worse than the 90.0 companywide print suggests.</w:t>
      </w:r>
    </w:p>
    <w:p>
      <w:r>
        <w:pict>
          <v:rect style="width:0;height:1.5pt" o:hralign="center" o:hrstd="t" o:hr="t"/>
        </w:pict>
      </w:r>
    </w:p>
    <w:bookmarkEnd w:id="11"/>
    <w:bookmarkStart w:id="16" w:name="X0346e16cbeef06d5fe31eba0da5028450be93ce"/>
    <w:p>
      <w:pPr>
        <w:pStyle w:val="Heading2"/>
      </w:pPr>
      <w:r>
        <w:t xml:space="preserve">The four debates that will define the call</w:t>
      </w:r>
    </w:p>
    <w:bookmarkStart w:id="12" w:name="Xf663301fbf16f527c3afcf9694c964aacd37b55"/>
    <w:p>
      <w:pPr>
        <w:pStyle w:val="Heading3"/>
      </w:pPr>
      <w:r>
        <w:t xml:space="preserve">1) Growth is decelerating — is this cyclical or the new normal?</w:t>
      </w:r>
    </w:p>
    <w:p>
      <w:pPr>
        <w:pStyle w:val="FirstParagraph"/>
      </w:pPr>
      <w:r>
        <w:t xml:space="preserve">This is the crux. Premium and policy growth are still strong in absolute terms but sharply slower than the boom:</w:t>
      </w:r>
    </w:p>
    <w:p>
      <w:pPr>
        <w:pStyle w:val="Compact"/>
        <w:numPr>
          <w:ilvl w:val="0"/>
          <w:numId w:val="1001"/>
        </w:numPr>
      </w:pPr>
      <w:r>
        <w:t xml:space="preserve">NPE growth</w:t>
      </w:r>
      <w:r>
        <w:t xml:space="preserve"> </w:t>
      </w:r>
      <w:r>
        <w:rPr>
          <w:b/>
          <w:bCs/>
        </w:rPr>
        <w:t xml:space="preserve">decelerated to +6%</w:t>
      </w:r>
      <w:r>
        <w:t xml:space="preserve"> </w:t>
      </w:r>
      <w:r>
        <w:t xml:space="preserve">in Q2 from +18% a year ago;</w:t>
      </w:r>
      <w:r>
        <w:t xml:space="preserve"> </w:t>
      </w:r>
      <w:r>
        <w:rPr>
          <w:b/>
          <w:bCs/>
        </w:rPr>
        <w:t xml:space="preserve">PIF growth of +7%</w:t>
      </w:r>
      <w:r>
        <w:t xml:space="preserve"> </w:t>
      </w:r>
      <w:r>
        <w:t xml:space="preserve">vs. +15% last year.</w:t>
      </w:r>
    </w:p>
    <w:p>
      <w:pPr>
        <w:pStyle w:val="Compact"/>
        <w:numPr>
          <w:ilvl w:val="0"/>
          <w:numId w:val="1001"/>
        </w:numPr>
      </w:pPr>
      <w:r>
        <w:t xml:space="preserve">Still,</w:t>
      </w:r>
      <w:r>
        <w:t xml:space="preserve"> </w:t>
      </w:r>
      <w:r>
        <w:rPr>
          <w:b/>
          <w:bCs/>
        </w:rPr>
        <w:t xml:space="preserve">PIF momentum remains excellent by industry standards</w:t>
      </w:r>
      <w:r>
        <w:t xml:space="preserve">: total PIF 40.1M (+7%); Direct auto +10%, Agency auto +8%.</w:t>
      </w:r>
    </w:p>
    <w:p>
      <w:pPr>
        <w:pStyle w:val="FirstParagraph"/>
      </w:pPr>
      <w:r>
        <w:t xml:space="preserve">Management's Q1 framing: the industry is in a</w:t>
      </w:r>
      <w:r>
        <w:t xml:space="preserve"> </w:t>
      </w:r>
      <w:r>
        <w:rPr>
          <w:b/>
          <w:bCs/>
        </w:rPr>
        <w:t xml:space="preserve">soft market</w:t>
      </w:r>
      <w:r>
        <w:t xml:space="preserve"> </w:t>
      </w:r>
      <w:r>
        <w:t xml:space="preserve">because everyone has strong margins, which invites competition and rate cuts. Progressive is choosing to grow policies aggressively (record media spend, up 20% y/y in Q1) even if it means letting margins drift toward its</w:t>
      </w:r>
      <w:r>
        <w:t xml:space="preserve"> </w:t>
      </w:r>
      <w:r>
        <w:rPr>
          <w:b/>
          <w:bCs/>
        </w:rPr>
        <w:t xml:space="preserve">96 combined-ratio target</w:t>
      </w:r>
      <w:r>
        <w:t xml:space="preserve">. Watch for whether Griffith/Quigg reaffirm "grow as fast as possible at ≤96" and how they characterize July shopping/conversion trends. Oppenheimer's post-print take captured the bear case well: limited stock upside until growth reaccelerates, which depends on industry pricing that isn't expected to firm soon given still-fat industry margins.</w:t>
      </w:r>
    </w:p>
    <w:bookmarkEnd w:id="12"/>
    <w:bookmarkStart w:id="13" w:name="Xb26b57fea442c44225909a15fa4d5becc5ee9d1"/>
    <w:p>
      <w:pPr>
        <w:pStyle w:val="Heading3"/>
      </w:pPr>
      <w:r>
        <w:t xml:space="preserve">2) The Robinsons / property deep-dive (the scheduled centerpiece)</w:t>
      </w:r>
    </w:p>
    <w:p>
      <w:pPr>
        <w:pStyle w:val="FirstParagraph"/>
      </w:pPr>
      <w:r>
        <w:t xml:space="preserve">Management pre-announced this presentation last quarter and asked analysts to submit questions in advance — so it's the strategic set-piece. Key context from Q1:</w:t>
      </w:r>
    </w:p>
    <w:p>
      <w:pPr>
        <w:pStyle w:val="Compact"/>
        <w:numPr>
          <w:ilvl w:val="0"/>
          <w:numId w:val="1002"/>
        </w:numPr>
      </w:pPr>
      <w:r>
        <w:t xml:space="preserve">"Robinsons" = higher-value</w:t>
      </w:r>
      <w:r>
        <w:t xml:space="preserve"> </w:t>
      </w:r>
      <w:r>
        <w:rPr>
          <w:b/>
          <w:bCs/>
        </w:rPr>
        <w:t xml:space="preserve">bundled home + auto</w:t>
      </w:r>
      <w:r>
        <w:t xml:space="preserve"> </w:t>
      </w:r>
      <w:r>
        <w:t xml:space="preserve">households. Progressive is under-penetrated here (~20% share of its other segments vs. only ~penetration of a</w:t>
      </w:r>
      <w:r>
        <w:t xml:space="preserve"> </w:t>
      </w:r>
      <m:oMath>
        <m:r>
          <m:t>240</m:t>
        </m:r>
        <m:r>
          <m:t>B</m:t>
        </m:r>
        <m:r>
          <m:t>R</m:t>
        </m:r>
        <m:r>
          <m:t>o</m:t>
        </m:r>
        <m:r>
          <m:t>b</m:t>
        </m:r>
        <m:r>
          <m:t>i</m:t>
        </m:r>
        <m:r>
          <m:t>n</m:t>
        </m:r>
        <m:r>
          <m:t>s</m:t>
        </m:r>
        <m:r>
          <m:t>o</m:t>
        </m:r>
        <m:r>
          <m:t>n</m:t>
        </m:r>
        <m:r>
          <m:t>s</m:t>
        </m:r>
        <m:r>
          <m:t>T</m:t>
        </m:r>
        <m:r>
          <m:t>A</m:t>
        </m:r>
        <m:r>
          <m:t>M</m:t>
        </m:r>
        <m:r>
          <m:rPr>
            <m:sty m:val="p"/>
          </m:rPr>
          <m:t>*</m:t>
        </m:r>
        <m:r>
          <m:rPr>
            <m:sty m:val="p"/>
          </m:rPr>
          <m:t>*</m:t>
        </m:r>
        <m:r>
          <m:rPr>
            <m:sty m:val="p"/>
          </m:rPr>
          <m:t>)</m:t>
        </m:r>
        <m:r>
          <m:rPr>
            <m:sty m:val="p"/>
          </m:rPr>
          <m:t>,</m:t>
        </m:r>
        <m:r>
          <m:t>w</m:t>
        </m:r>
        <m:r>
          <m:t>h</m:t>
        </m:r>
        <m:r>
          <m:t>i</m:t>
        </m:r>
        <m:r>
          <m:t>c</m:t>
        </m:r>
        <m:r>
          <m:t>h</m:t>
        </m:r>
        <m:r>
          <m:t>P</m:t>
        </m:r>
        <m:r>
          <m:t>e</m:t>
        </m:r>
        <m:r>
          <m:t>r</m:t>
        </m:r>
        <m:r>
          <m:t>s</m:t>
        </m:r>
        <m:r>
          <m:t>o</m:t>
        </m:r>
        <m:r>
          <m:t>n</m:t>
        </m:r>
        <m:r>
          <m:t>a</m:t>
        </m:r>
        <m:r>
          <m:t>l</m:t>
        </m:r>
        <m:r>
          <m:t>L</m:t>
        </m:r>
        <m:r>
          <m:t>i</m:t>
        </m:r>
        <m:r>
          <m:t>n</m:t>
        </m:r>
        <m:r>
          <m:t>e</m:t>
        </m:r>
        <m:r>
          <m:t>s</m:t>
        </m:r>
        <m:r>
          <m:t>P</m:t>
        </m:r>
        <m:r>
          <m:t>r</m:t>
        </m:r>
        <m:r>
          <m:t>e</m:t>
        </m:r>
        <m:r>
          <m:t>s</m:t>
        </m:r>
        <m:r>
          <m:t>i</m:t>
        </m:r>
        <m:r>
          <m:t>d</m:t>
        </m:r>
        <m:r>
          <m:t>e</m:t>
        </m:r>
        <m:r>
          <m:t>n</m:t>
        </m:r>
        <m:r>
          <m:t>t</m:t>
        </m:r>
        <m:r>
          <m:t>P</m:t>
        </m:r>
        <m:r>
          <m:t>a</m:t>
        </m:r>
        <m:r>
          <m:t>t</m:t>
        </m:r>
        <m:r>
          <m:t>C</m:t>
        </m:r>
        <m:r>
          <m:t>a</m:t>
        </m:r>
        <m:r>
          <m:t>l</m:t>
        </m:r>
        <m:r>
          <m:t>l</m:t>
        </m:r>
        <m:r>
          <m:t>a</m:t>
        </m:r>
        <m:r>
          <m:t>h</m:t>
        </m:r>
        <m:r>
          <m:t>a</m:t>
        </m:r>
        <m:r>
          <m:t>n</m:t>
        </m:r>
        <m:r>
          <m:t>f</m:t>
        </m:r>
        <m:r>
          <m:t>r</m:t>
        </m:r>
        <m:r>
          <m:t>a</m:t>
        </m:r>
        <m:r>
          <m:t>m</m:t>
        </m:r>
        <m:r>
          <m:t>e</m:t>
        </m:r>
        <m:r>
          <m:t>d</m:t>
        </m:r>
        <m:r>
          <m:t>a</m:t>
        </m:r>
        <m:r>
          <m:t>s</m:t>
        </m:r>
        <m:r>
          <m:t>a</m:t>
        </m:r>
        <m:r>
          <m:rPr>
            <m:sty m:val="p"/>
          </m:rPr>
          <m:t>*</m:t>
        </m:r>
        <m:r>
          <m:rPr>
            <m:sty m:val="p"/>
          </m:rPr>
          <m:t>*</m:t>
        </m:r>
      </m:oMath>
      <w:r>
        <w:rPr>
          <w:b/>
          <w:bCs/>
        </w:rPr>
        <w:t xml:space="preserve">40–50B top-line opportunity</w:t>
      </w:r>
      <w:r>
        <w:t xml:space="preserve">.</w:t>
      </w:r>
    </w:p>
    <w:p>
      <w:pPr>
        <w:pStyle w:val="Compact"/>
        <w:numPr>
          <w:ilvl w:val="0"/>
          <w:numId w:val="1002"/>
        </w:numPr>
      </w:pPr>
      <w:r>
        <w:t xml:space="preserve">The unlock requires</w:t>
      </w:r>
      <w:r>
        <w:t xml:space="preserve"> </w:t>
      </w:r>
      <w:r>
        <w:rPr>
          <w:b/>
          <w:bCs/>
        </w:rPr>
        <w:t xml:space="preserve">growing the property book on Progressive's own paper</w:t>
      </w:r>
      <w:r>
        <w:t xml:space="preserve">, expanding agent distribution (platinum-agent roundtables), and widening underwriting appetite in ~38–40 of 47 states.</w:t>
      </w:r>
    </w:p>
    <w:p>
      <w:pPr>
        <w:pStyle w:val="Compact"/>
        <w:numPr>
          <w:ilvl w:val="0"/>
          <w:numId w:val="1002"/>
        </w:numPr>
      </w:pPr>
      <w:r>
        <w:t xml:space="preserve">The catch: it's the most competitive segment, dominated by captive/mutual carriers with different return objectives.</w:t>
      </w:r>
    </w:p>
    <w:p>
      <w:pPr>
        <w:pStyle w:val="FirstParagraph"/>
      </w:pPr>
      <w:r>
        <w:rPr>
          <w:b/>
          <w:bCs/>
        </w:rPr>
        <w:t xml:space="preserve">What to listen for:</w:t>
      </w:r>
      <w:r>
        <w:t xml:space="preserve"> </w:t>
      </w:r>
      <w:r>
        <w:t xml:space="preserve">concrete metrics on Robinsons growth, property availability expansion, bundle rates, and whether property risk appetite is being widened after several volatile catastrophe years. This is management's answer to the "growth is slowing" worry — reframing the story around a large, durable, higher-quality growth runway.</w:t>
      </w:r>
    </w:p>
    <w:bookmarkEnd w:id="13"/>
    <w:bookmarkStart w:id="14" w:name="X4aa7582fcf3a8c4dfd24436f56b2517186014c6"/>
    <w:p>
      <w:pPr>
        <w:pStyle w:val="Heading3"/>
      </w:pPr>
      <w:r>
        <w:t xml:space="preserve">3) Capital return — will they repeat the mega-dividend?</w:t>
      </w:r>
    </w:p>
    <w:p>
      <w:pPr>
        <w:pStyle w:val="FirstParagraph"/>
      </w:pPr>
      <w:r>
        <w:t xml:space="preserve">Progressive is drowning in capital. Per Wolfe Research, the company holds</w:t>
      </w:r>
      <w:r>
        <w:t xml:space="preserve"> </w:t>
      </w:r>
      <w:r>
        <w:rPr>
          <w:b/>
          <w:bCs/>
        </w:rPr>
        <w:t xml:space="preserve">~</w:t>
      </w:r>
      <m:oMath>
        <m:r>
          <m:t>13</m:t>
        </m:r>
        <m:r>
          <m:t>B</m:t>
        </m:r>
        <m:r>
          <m:t>o</m:t>
        </m:r>
        <m:r>
          <m:t>f</m:t>
        </m:r>
        <m:r>
          <m:t>e</m:t>
        </m:r>
        <m:r>
          <m:t>x</m:t>
        </m:r>
        <m:r>
          <m:t>c</m:t>
        </m:r>
        <m:r>
          <m:t>e</m:t>
        </m:r>
        <m:r>
          <m:t>s</m:t>
        </m:r>
        <m:r>
          <m:t>s</m:t>
        </m:r>
        <m:r>
          <m:t>c</m:t>
        </m:r>
        <m:r>
          <m:t>a</m:t>
        </m:r>
        <m:r>
          <m:t>p</m:t>
        </m:r>
        <m:r>
          <m:t>i</m:t>
        </m:r>
        <m:r>
          <m:t>t</m:t>
        </m:r>
        <m:r>
          <m:t>a</m:t>
        </m:r>
        <m:r>
          <m:t>l</m:t>
        </m:r>
        <m:r>
          <m:rPr>
            <m:sty m:val="p"/>
          </m:rPr>
          <m:t>*</m:t>
        </m:r>
        <m:r>
          <m:rPr>
            <m:sty m:val="p"/>
          </m:rPr>
          <m:t>*</m:t>
        </m:r>
        <m:r>
          <m:t>a</m:t>
        </m:r>
        <m:r>
          <m:t>n</m:t>
        </m:r>
        <m:r>
          <m:t>d</m:t>
        </m:r>
        <m:r>
          <m:t>c</m:t>
        </m:r>
        <m:r>
          <m:t>o</m:t>
        </m:r>
        <m:r>
          <m:t>u</m:t>
        </m:r>
        <m:r>
          <m:t>l</m:t>
        </m:r>
        <m:r>
          <m:t>d</m:t>
        </m:r>
        <m:r>
          <m:t>r</m:t>
        </m:r>
        <m:r>
          <m:t>e</m:t>
        </m:r>
        <m:r>
          <m:t>t</m:t>
        </m:r>
        <m:r>
          <m:t>u</m:t>
        </m:r>
        <m:r>
          <m:t>r</m:t>
        </m:r>
        <m:r>
          <m:t>n</m:t>
        </m:r>
        <m:r>
          <m:rPr>
            <m:sty m:val="p"/>
          </m:rPr>
          <m:t>*</m:t>
        </m:r>
        <m:r>
          <m:rPr>
            <m:sty m:val="p"/>
          </m:rPr>
          <m:t>*</m:t>
        </m:r>
        <m:r>
          <m:t> </m:t>
        </m:r>
      </m:oMath>
      <w:r>
        <w:rPr>
          <w:b/>
          <w:bCs/>
        </w:rPr>
        <w:t xml:space="preserve">6.6B via dividends plus ~</w:t>
      </w:r>
      <m:oMath>
        <m:r>
          <m:t>2.3</m:t>
        </m:r>
        <m:r>
          <m:t>B</m:t>
        </m:r>
        <m:r>
          <m:t>o</m:t>
        </m:r>
        <m:r>
          <m:t>f</m:t>
        </m:r>
        <m:r>
          <m:t>b</m:t>
        </m:r>
        <m:r>
          <m:t>u</m:t>
        </m:r>
        <m:r>
          <m:t>y</m:t>
        </m:r>
        <m:r>
          <m:t>b</m:t>
        </m:r>
        <m:r>
          <m:t>a</m:t>
        </m:r>
        <m:r>
          <m:t>c</m:t>
        </m:r>
        <m:r>
          <m:t>k</m:t>
        </m:r>
        <m:r>
          <m:t>s</m:t>
        </m:r>
        <m:r>
          <m:rPr>
            <m:sty m:val="p"/>
          </m:rPr>
          <m:t>*</m:t>
        </m:r>
        <m:r>
          <m:rPr>
            <m:sty m:val="p"/>
          </m:rPr>
          <m:t>*</m:t>
        </m:r>
        <m:r>
          <m:t>t</m:t>
        </m:r>
        <m:r>
          <m:t>h</m:t>
        </m:r>
        <m:r>
          <m:t>i</m:t>
        </m:r>
        <m:r>
          <m:t>s</m:t>
        </m:r>
        <m:r>
          <m:t>y</m:t>
        </m:r>
        <m:r>
          <m:t>e</m:t>
        </m:r>
        <m:r>
          <m:t>a</m:t>
        </m:r>
        <m:r>
          <m:t>r</m:t>
        </m:r>
        <m:r>
          <m:rPr>
            <m:sty m:val="p"/>
          </m:rPr>
          <m:t>;</m:t>
        </m:r>
        <m:r>
          <m:t>P</m:t>
        </m:r>
        <m:r>
          <m:t>G</m:t>
        </m:r>
        <m:r>
          <m:t>R</m:t>
        </m:r>
        <m:r>
          <m:t>p</m:t>
        </m:r>
        <m:r>
          <m:t>a</m:t>
        </m:r>
        <m:r>
          <m:t>i</m:t>
        </m:r>
        <m:r>
          <m:t>d</m:t>
        </m:r>
        <m:r>
          <m:t>a</m:t>
        </m:r>
        <m:r>
          <m:t>r</m:t>
        </m:r>
        <m:r>
          <m:t>e</m:t>
        </m:r>
        <m:r>
          <m:t>c</m:t>
        </m:r>
        <m:r>
          <m:t>o</m:t>
        </m:r>
        <m:r>
          <m:t>r</m:t>
        </m:r>
        <m:r>
          <m:t>d</m:t>
        </m:r>
        <m:r>
          <m:rPr>
            <m:sty m:val="p"/>
          </m:rPr>
          <m:t>*</m:t>
        </m:r>
        <m:r>
          <m:rPr>
            <m:sty m:val="p"/>
          </m:rPr>
          <m:t>*</m:t>
        </m:r>
        <m:r>
          <m:t> </m:t>
        </m:r>
      </m:oMath>
      <w:r>
        <w:rPr>
          <w:b/>
          <w:bCs/>
        </w:rPr>
        <w:t xml:space="preserve">8B dividend for 2025</w:t>
      </w:r>
      <w:r>
        <w:t xml:space="preserve">. Drivers:</w:t>
      </w:r>
    </w:p>
    <w:p>
      <w:pPr>
        <w:pStyle w:val="Compact"/>
        <w:numPr>
          <w:ilvl w:val="0"/>
          <w:numId w:val="1003"/>
        </w:numPr>
      </w:pPr>
      <w:r>
        <w:t xml:space="preserve">Trailing ROE of</w:t>
      </w:r>
      <w:r>
        <w:t xml:space="preserve"> </w:t>
      </w:r>
      <w:r>
        <w:rPr>
          <w:b/>
          <w:bCs/>
        </w:rPr>
        <w:t xml:space="preserve">34.7%</w:t>
      </w:r>
      <w:r>
        <w:t xml:space="preserve">, book value $59.05/share, debt-to-capital just 19.6%.</w:t>
      </w:r>
    </w:p>
    <w:p>
      <w:pPr>
        <w:pStyle w:val="Compact"/>
        <w:numPr>
          <w:ilvl w:val="0"/>
          <w:numId w:val="1003"/>
        </w:numPr>
      </w:pPr>
      <w:r>
        <w:t xml:space="preserve">Regulators approved moving key subsidiaries to</w:t>
      </w:r>
      <w:r>
        <w:t xml:space="preserve"> </w:t>
      </w:r>
      <w:r>
        <w:rPr>
          <w:b/>
          <w:bCs/>
        </w:rPr>
        <w:t xml:space="preserve">3.5:1 premium-to-surplus</w:t>
      </w:r>
      <w:r>
        <w:t xml:space="preserve"> </w:t>
      </w:r>
      <w:r>
        <w:t xml:space="preserve">(from 3:1), freeing more capital, with more optimization planned in 2026–27.</w:t>
      </w:r>
    </w:p>
    <w:p>
      <w:pPr>
        <w:pStyle w:val="Compact"/>
        <w:numPr>
          <w:ilvl w:val="0"/>
          <w:numId w:val="1003"/>
        </w:numPr>
      </w:pPr>
      <w:r>
        <w:t xml:space="preserve">Slowing growth =</w:t>
      </w:r>
      <w:r>
        <w:t xml:space="preserve"> </w:t>
      </w:r>
      <w:r>
        <w:rPr>
          <w:i/>
          <w:iCs/>
        </w:rPr>
        <w:t xml:space="preserve">less</w:t>
      </w:r>
      <w:r>
        <w:t xml:space="preserve"> </w:t>
      </w:r>
      <w:r>
        <w:t xml:space="preserve">capital needed to fund it =</w:t>
      </w:r>
      <w:r>
        <w:t xml:space="preserve"> </w:t>
      </w:r>
      <w:r>
        <w:rPr>
          <w:i/>
          <w:iCs/>
        </w:rPr>
        <w:t xml:space="preserve">more</w:t>
      </w:r>
      <w:r>
        <w:t xml:space="preserve"> </w:t>
      </w:r>
      <w:r>
        <w:t xml:space="preserve">excess to return.</w:t>
      </w:r>
    </w:p>
    <w:p>
      <w:pPr>
        <w:pStyle w:val="FirstParagraph"/>
      </w:pPr>
      <w:r>
        <w:rPr>
          <w:b/>
          <w:bCs/>
        </w:rPr>
        <w:t xml:space="preserve">The question:</w:t>
      </w:r>
      <w:r>
        <w:t xml:space="preserve"> </w:t>
      </w:r>
      <w:r>
        <w:t xml:space="preserve">Does management signal another large variable/special dividend at year-end, lean harder into buybacks (CIO Jon Bauer stressed they scale repurchases to the discount-to-fair-value), or hold dry powder for corporate development? This is arguably the biggest positive catalyst available on the call.</w:t>
      </w:r>
    </w:p>
    <w:bookmarkEnd w:id="14"/>
    <w:bookmarkStart w:id="15" w:name="X0993f31631a7724c7f564f5c294944eb2e95405"/>
    <w:p>
      <w:pPr>
        <w:pStyle w:val="Heading3"/>
      </w:pPr>
      <w:r>
        <w:t xml:space="preserve">4) The CFO transition</w:t>
      </w:r>
    </w:p>
    <w:p>
      <w:pPr>
        <w:pStyle w:val="FirstParagraph"/>
      </w:pPr>
      <w:r>
        <w:t xml:space="preserve">This is</w:t>
      </w:r>
      <w:r>
        <w:t xml:space="preserve"> </w:t>
      </w:r>
      <w:r>
        <w:rPr>
          <w:b/>
          <w:bCs/>
        </w:rPr>
        <w:t xml:space="preserve">Andrew Quigg's debut as CFO</w:t>
      </w:r>
      <w:r>
        <w:t xml:space="preserve"> </w:t>
      </w:r>
      <w:r>
        <w:t xml:space="preserve">(he was Chief Strategy Officer in Q1); veteran CFO John Sauerland retired in July. Insider Form 4s show routine planned/tax-withholding sales across the executive team (Griffith, Quigg, Bauer, Bailo, Murphy) in late July — pre-planned 10b5-1 activity, not a signal. Watch for tone/continuity on capital-allocation philosophy from the new CFO.</w:t>
      </w:r>
    </w:p>
    <w:p>
      <w:r>
        <w:pict>
          <v:rect style="width:0;height:1.5pt" o:hralign="center" o:hrstd="t" o:hr="t"/>
        </w:pict>
      </w:r>
    </w:p>
    <w:bookmarkEnd w:id="15"/>
    <w:bookmarkEnd w:id="16"/>
    <w:bookmarkStart w:id="17" w:name="positioning--valuation-context"/>
    <w:p>
      <w:pPr>
        <w:pStyle w:val="Heading2"/>
      </w:pPr>
      <w:r>
        <w:t xml:space="preserve">Positioning &amp; valuation context</w:t>
      </w:r>
    </w:p>
    <w:p>
      <w:pPr>
        <w:pStyle w:val="Compact"/>
        <w:numPr>
          <w:ilvl w:val="0"/>
          <w:numId w:val="1004"/>
        </w:numPr>
      </w:pPr>
      <w:r>
        <w:t xml:space="preserve">PGR has meaningfully</w:t>
      </w:r>
      <w:r>
        <w:t xml:space="preserve"> </w:t>
      </w:r>
      <w:r>
        <w:rPr>
          <w:b/>
          <w:bCs/>
        </w:rPr>
        <w:t xml:space="preserve">lagged Allstate (ALL) YTD</w:t>
      </w:r>
      <w:r>
        <w:t xml:space="preserve">: PGR is roughly flat-to-down on the year (~</w:t>
      </w:r>
      <m:oMath>
        <m:r>
          <m:t>212</m:t>
        </m:r>
        <m:r>
          <m:rPr>
            <m:sty m:val="p"/>
          </m:rPr>
          <m:t>→</m:t>
        </m:r>
        <m:r>
          <m:t> </m:t>
        </m:r>
      </m:oMath>
      <w:r>
        <w:t xml:space="preserve">210, and down from July highs near</w:t>
      </w:r>
      <w:r>
        <w:t xml:space="preserve"> </w:t>
      </w:r>
      <m:oMath>
        <m:r>
          <m:t>234</m:t>
        </m:r>
        <m:r>
          <m:rPr>
            <m:sty m:val="p"/>
          </m:rPr>
          <m:t>)</m:t>
        </m:r>
        <m:r>
          <m:rPr>
            <m:sty m:val="p"/>
          </m:rPr>
          <m:t>,</m:t>
        </m:r>
        <m:r>
          <m:t>w</m:t>
        </m:r>
        <m:r>
          <m:t>h</m:t>
        </m:r>
        <m:r>
          <m:t>i</m:t>
        </m:r>
        <m:r>
          <m:t>l</m:t>
        </m:r>
        <m:r>
          <m:t>e</m:t>
        </m:r>
        <m:r>
          <m:t>A</m:t>
        </m:r>
        <m:r>
          <m:t>L</m:t>
        </m:r>
        <m:r>
          <m:t>L</m:t>
        </m:r>
        <m:r>
          <m:t>h</m:t>
        </m:r>
        <m:r>
          <m:t>a</m:t>
        </m:r>
        <m:r>
          <m:t>s</m:t>
        </m:r>
        <m:r>
          <m:t>r</m:t>
        </m:r>
        <m:r>
          <m:t>u</m:t>
        </m:r>
        <m:r>
          <m:t>n</m:t>
        </m:r>
        <m:r>
          <m:t>f</m:t>
        </m:r>
        <m:r>
          <m:t>r</m:t>
        </m:r>
        <m:r>
          <m:t>o</m:t>
        </m:r>
        <m:r>
          <m:t>m</m:t>
        </m:r>
        <m:r>
          <m:t> </m:t>
        </m:r>
      </m:oMath>
      <w:r>
        <w:t xml:space="preserve">204 to ~$263. The margin-normalization/growth-deceleration narrative is showing up in relative performance.</w:t>
      </w:r>
    </w:p>
    <w:p>
      <w:pPr>
        <w:pStyle w:val="Compact"/>
        <w:numPr>
          <w:ilvl w:val="0"/>
          <w:numId w:val="1004"/>
        </w:numPr>
      </w:pPr>
      <w:r>
        <w:t xml:space="preserve">Progressive crossed a landmark milestone — it</w:t>
      </w:r>
      <w:r>
        <w:t xml:space="preserve"> </w:t>
      </w:r>
      <w:r>
        <w:rPr>
          <w:b/>
          <w:bCs/>
        </w:rPr>
        <w:t xml:space="preserve">became the #1 U.S. personal-auto writer</w:t>
      </w:r>
      <w:r>
        <w:t xml:space="preserve">, having added ~1.9 pts of share in 2025 to ~18.6%, and captured the vast majority of industry auto growth.</w:t>
      </w:r>
    </w:p>
    <w:p>
      <w:pPr>
        <w:pStyle w:val="Compact"/>
        <w:numPr>
          <w:ilvl w:val="0"/>
          <w:numId w:val="1004"/>
        </w:numPr>
      </w:pPr>
      <w:r>
        <w:t xml:space="preserve">The stock trades on a rich multiple relative to P&amp;C peers, which is precisely why decelerating growth + margin normalization matters: the premium multiple is a</w:t>
      </w:r>
      <w:r>
        <w:t xml:space="preserve"> </w:t>
      </w:r>
      <w:r>
        <w:rPr>
          <w:i/>
          <w:iCs/>
        </w:rPr>
        <w:t xml:space="preserve">growth</w:t>
      </w:r>
      <w:r>
        <w:t xml:space="preserve"> </w:t>
      </w:r>
      <w:r>
        <w:t xml:space="preserve">multiple.</w:t>
      </w:r>
    </w:p>
    <w:p>
      <w:r>
        <w:pict>
          <v:rect style="width:0;height:1.5pt" o:hralign="center" o:hrstd="t" o:hr="t"/>
        </w:pict>
      </w:r>
    </w:p>
    <w:bookmarkEnd w:id="17"/>
    <w:bookmarkStart w:id="18" w:name="bottom-line--what-to-watch-tomorrow"/>
    <w:p>
      <w:pPr>
        <w:pStyle w:val="Heading2"/>
      </w:pPr>
      <w:r>
        <w:t xml:space="preserve">Bottom line — what to watch tomorrow</w:t>
      </w:r>
    </w:p>
    <w:p>
      <w:pPr>
        <w:pStyle w:val="Compact"/>
        <w:numPr>
          <w:ilvl w:val="0"/>
          <w:numId w:val="1005"/>
        </w:numPr>
      </w:pPr>
      <w:r>
        <w:rPr>
          <w:b/>
          <w:bCs/>
        </w:rPr>
        <w:t xml:space="preserve">Growth vs. margin messaging</w:t>
      </w:r>
      <w:r>
        <w:t xml:space="preserve"> </w:t>
      </w:r>
      <w:r>
        <w:t xml:space="preserve">— any hint that July shopping/conversion is holding up (bullish) or that rate cuts are accelerating margin compression toward 96 (bearish).</w:t>
      </w:r>
    </w:p>
    <w:p>
      <w:pPr>
        <w:pStyle w:val="Compact"/>
        <w:numPr>
          <w:ilvl w:val="0"/>
          <w:numId w:val="1005"/>
        </w:numPr>
      </w:pPr>
      <w:r>
        <w:rPr>
          <w:b/>
          <w:bCs/>
        </w:rPr>
        <w:t xml:space="preserve">Robinsons/property specifics</w:t>
      </w:r>
      <w:r>
        <w:t xml:space="preserve"> </w:t>
      </w:r>
      <w:r>
        <w:t xml:space="preserve">— real numbers, not just TAM. This is the intended narrative reset.</w:t>
      </w:r>
    </w:p>
    <w:p>
      <w:pPr>
        <w:pStyle w:val="Compact"/>
        <w:numPr>
          <w:ilvl w:val="0"/>
          <w:numId w:val="1005"/>
        </w:numPr>
      </w:pPr>
      <w:r>
        <w:rPr>
          <w:b/>
          <w:bCs/>
        </w:rPr>
        <w:t xml:space="preserve">Capital return roadmap</w:t>
      </w:r>
      <w:r>
        <w:t xml:space="preserve"> </w:t>
      </w:r>
      <w:r>
        <w:t xml:space="preserve">— clarity on another special dividend vs. buyback cadence. Given ~$13B excess, disappointment here is a risk; a strong signal is the clearest upside catalyst.</w:t>
      </w:r>
    </w:p>
    <w:p>
      <w:pPr>
        <w:pStyle w:val="Compact"/>
        <w:numPr>
          <w:ilvl w:val="0"/>
          <w:numId w:val="1005"/>
        </w:numPr>
      </w:pPr>
      <w:r>
        <w:rPr>
          <w:b/>
          <w:bCs/>
        </w:rPr>
        <w:t xml:space="preserve">New-CFO continuity</w:t>
      </w:r>
      <w:r>
        <w:t xml:space="preserve"> </w:t>
      </w:r>
      <w:r>
        <w:t xml:space="preserve">— reassurance on the 3.5:1 surplus optimization and capital philosophy.</w:t>
      </w:r>
    </w:p>
    <w:p>
      <w:pPr>
        <w:pStyle w:val="FirstParagraph"/>
      </w:pPr>
      <w:r>
        <w:rPr>
          <w:b/>
          <w:bCs/>
        </w:rPr>
        <w:t xml:space="preserve">Net:</w:t>
      </w:r>
      <w:r>
        <w:t xml:space="preserve"> </w:t>
      </w:r>
      <w:r>
        <w:t xml:space="preserve">The numbers are already in the tape (and were taken poorly). Tomorrow is a</w:t>
      </w:r>
      <w:r>
        <w:t xml:space="preserve"> </w:t>
      </w:r>
      <w:r>
        <w:rPr>
          <w:i/>
          <w:iCs/>
        </w:rPr>
        <w:t xml:space="preserve">narrative</w:t>
      </w:r>
      <w:r>
        <w:t xml:space="preserve"> </w:t>
      </w:r>
      <w:r>
        <w:t xml:space="preserve">event: can management convince investors that slowing growth is a deliberate, high-return choice — funded by huge excess capital and reinvested into the Robinsons/property runway — rather than the front edge of a softening auto cycle? The setup skews toward "show me," with capital return the most tangible lever to change sentiment.</w:t>
      </w:r>
    </w:p>
    <w:p>
      <w:pPr>
        <w:pStyle w:val="BodyText"/>
      </w:pPr>
      <w:r>
        <w:rPr>
          <w:i/>
          <w:iCs/>
        </w:rPr>
        <w:t xml:space="preserve">Note: Progressive plans to release July monthly results on August 19, 2026 (before market open).</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2026-08-04T01:22:51Z</dcterms:created>
  <dcterms:modified xsi:type="dcterms:W3CDTF">2026-08-04T01:22:51Z</dcterms:modified>
</cp:coreProperties>
</file>

<file path=docProps/custom.xml><?xml version="1.0" encoding="utf-8"?>
<Properties xmlns="http://schemas.openxmlformats.org/officeDocument/2006/custom-properties" xmlns:vt="http://schemas.openxmlformats.org/officeDocument/2006/docPropsVTypes"/>
</file>