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gr-earnings-predictions--2026-08-04"/>
    <w:p>
      <w:pPr>
        <w:pStyle w:val="Heading1"/>
      </w:pPr>
      <w:r>
        <w:t xml:space="preserve">PGR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2026, already reported 7/15, discussed on call)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~4.86 vs. cons 4.77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premiums earned /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~21.57B vs. cons 21.60B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Companywide combined ratio / underwriting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~87.3 combined ratio (12.7% margin) vs. cons ~86.5 (13.5% margin)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capital return (dividends + buybacks)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~8.9B (6.6B special/reg dividend + 2.3B buyback per Street est.) vs. cons ~8.0B matching FY2025 record payout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Advertising spend growth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~15% y/y H2 spend growth vs. cons ~14% y/y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Personal Lines NPW/PIF growth trajectory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~4% NPW growth vs. cons ~6% NPW growth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-0.4%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PGR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-1.1% (FADE)</w:t>
            </w:r>
          </w:p>
        </w:tc>
        <w:tc>
          <w:tcPr/>
          <w:p>
            <w:pPr>
              <w:pStyle w:val="Compact"/>
            </w:pPr>
            <w:r>
              <w:t xml:space="preserve">Numbers were already public via the 7/15 monthly release and 8/3 10-Q, so the call itself adds little new financial info; the incremental signal (continued deceleration in PIF/NPW growth, elevated BI severity, slightly softer margin, and no confirmed repeat of the 2025 mega special dividend) skews cautious. Sell-side has already been trimming targets (KBW, BMO, Wells Fargo) post-release, and with growth comps getting harder into H2 and combined ratio drifting up y/y, out-period estimate revisions likely continue downward after the call, producing a fade rather than follow-through despite the in-hand EPS beat.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2026-08-04T01:23:38Z</dcterms:created>
  <dcterms:modified xsi:type="dcterms:W3CDTF">2026-08-04T01:23:38Z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