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a comprehensive picture. Let me write the earnings preview.# Progressive Corporation (PGR) — Q2 2026 Earnings Preview</w:t>
      </w:r>
      <w:r>
        <w:t xml:space="preserve"> </w:t>
      </w:r>
      <w:r>
        <w:rPr>
          <w:b/>
          <w:bCs/>
        </w:rPr>
        <w:t xml:space="preserve">Event:</w:t>
      </w:r>
      <w:r>
        <w:t xml:space="preserve"> </w:t>
      </w:r>
      <w:r>
        <w:t xml:space="preserve">2026Q2 Earnings Call, Tuesday, August 4, 2026, 9:30 a.m. ET</w:t>
      </w:r>
    </w:p>
    <w:p>
      <w:r>
        <w:pict>
          <v:rect style="width:0;height:1.5pt" o:hralign="center" o:hrstd="t" o:hr="t"/>
        </w:pict>
      </w:r>
    </w:p>
    <w:bookmarkStart w:id="9" w:name="a-quick-note-on-format"/>
    <w:p>
      <w:pPr>
        <w:pStyle w:val="Heading2"/>
      </w:pPr>
      <w:r>
        <w:t xml:space="preserve">A quick note on format</w:t>
      </w:r>
    </w:p>
    <w:p>
      <w:pPr>
        <w:pStyle w:val="FirstParagraph"/>
      </w:pPr>
      <w:r>
        <w:t xml:space="preserve">Progressive is unusual among large-caps in that it doesn't "surprise" investors on earnings-call day. The company already released detailed June/Q2 monthly and quarterly results on</w:t>
      </w:r>
      <w:r>
        <w:t xml:space="preserve"> </w:t>
      </w:r>
      <w:r>
        <w:rPr>
          <w:b/>
          <w:bCs/>
        </w:rPr>
        <w:t xml:space="preserve">July 15</w:t>
      </w:r>
      <w:r>
        <w:t xml:space="preserve"> </w:t>
      </w:r>
      <w:r>
        <w:t xml:space="preserve">and filed its</w:t>
      </w:r>
      <w:r>
        <w:t xml:space="preserve"> </w:t>
      </w:r>
      <w:r>
        <w:rPr>
          <w:b/>
          <w:bCs/>
        </w:rPr>
        <w:t xml:space="preserve">10-Q on August 3</w:t>
      </w:r>
      <w:r>
        <w:t xml:space="preserve">. Tomorrow's 90-minute event is therefore not a numbers reveal — Progressive's second quarter Investor Relations conference call will consist of both a conference call and webcast, scheduled to last 90 minutes and will begin with an approximate 45-minute presentation on Progressive's Robinsons consumer segment, followed by a question and answer session with Tricia Griffith, CEO, and Andrew Quigg, CFO. Management previewed this format on the Q1 call, flagging that the deep dive would cover</w:t>
      </w:r>
      <w:r>
        <w:t xml:space="preserve"> </w:t>
      </w:r>
      <w:r>
        <w:rPr>
          <w:b/>
          <w:bCs/>
        </w:rPr>
        <w:t xml:space="preserve">property growth and the "Robinsons" bundled-household segment</w:t>
      </w:r>
      <w:r>
        <w:t xml:space="preserve"> </w:t>
      </w:r>
      <w:r>
        <w:t xml:space="preserve">— so investors should expect the bulk of new information to center on that topic rather than on financial results already in hand.</w:t>
      </w:r>
    </w:p>
    <w:bookmarkEnd w:id="9"/>
    <w:bookmarkStart w:id="10" w:name="X599ddaf6477550102b5446231db07f0f3cf2cdb"/>
    <w:p>
      <w:pPr>
        <w:pStyle w:val="Heading2"/>
      </w:pPr>
      <w:r>
        <w:t xml:space="preserve">What already happened in Q2 (the numbers investors will be discussing)</w:t>
      </w:r>
    </w:p>
    <w:p>
      <w:pPr>
        <w:pStyle w:val="Compact"/>
        <w:numPr>
          <w:ilvl w:val="0"/>
          <w:numId w:val="1001"/>
        </w:numPr>
      </w:pPr>
      <w:r>
        <w:rPr>
          <w:b/>
          <w:bCs/>
        </w:rPr>
        <w:t xml:space="preserve">Net premiums written</w:t>
      </w:r>
      <w:r>
        <w:t xml:space="preserve"> </w:t>
      </w:r>
      <w:r>
        <w:t xml:space="preserve">rose to $21.1 billion (+5% y/y) and</w:t>
      </w:r>
      <w:r>
        <w:t xml:space="preserve"> </w:t>
      </w:r>
      <w:r>
        <w:rPr>
          <w:b/>
          <w:bCs/>
        </w:rPr>
        <w:t xml:space="preserve">net premiums earned</w:t>
      </w:r>
      <w:r>
        <w:t xml:space="preserve"> </w:t>
      </w:r>
      <w:r>
        <w:t xml:space="preserve">to $21.57 billion (+6% y/y) for the quarter, with</w:t>
      </w:r>
      <w:r>
        <w:t xml:space="preserve"> </w:t>
      </w:r>
      <w:r>
        <w:rPr>
          <w:b/>
          <w:bCs/>
        </w:rPr>
        <w:t xml:space="preserve">net income</w:t>
      </w:r>
      <w:r>
        <w:t xml:space="preserve"> </w:t>
      </w:r>
      <w:r>
        <w:t xml:space="preserve">of $3.31 billion, up 4% y/y for the six-month period (per the year-to-date comprehensive income statement).</w:t>
      </w:r>
    </w:p>
    <w:p>
      <w:pPr>
        <w:pStyle w:val="Compact"/>
        <w:numPr>
          <w:ilvl w:val="0"/>
          <w:numId w:val="1001"/>
        </w:numPr>
      </w:pPr>
      <w:r>
        <w:t xml:space="preserve">June alone was messier: monthly</w:t>
      </w:r>
      <w:r>
        <w:t xml:space="preserve"> </w:t>
      </w:r>
      <w:r>
        <w:rPr>
          <w:b/>
          <w:bCs/>
        </w:rPr>
        <w:t xml:space="preserve">net income fell 31% y/y to $779 million</w:t>
      </w:r>
      <w:r>
        <w:t xml:space="preserve"> </w:t>
      </w:r>
      <w:r>
        <w:t xml:space="preserve">and diluted EPS dropped to $1.34 from $1.91, driven largely by a swing in net realized/unrealized investment results (a $13 million loss vs. a $179 million gain a year ago) and a higher combined ratio (90.0 vs. 86.6).</w:t>
      </w:r>
    </w:p>
    <w:p>
      <w:pPr>
        <w:pStyle w:val="Compact"/>
        <w:numPr>
          <w:ilvl w:val="0"/>
          <w:numId w:val="1001"/>
        </w:numPr>
      </w:pPr>
      <w:r>
        <w:t xml:space="preserve">For the</w:t>
      </w:r>
      <w:r>
        <w:t xml:space="preserve"> </w:t>
      </w:r>
      <w:r>
        <w:rPr>
          <w:b/>
          <w:bCs/>
        </w:rPr>
        <w:t xml:space="preserve">full quarter</w:t>
      </w:r>
      <w:r>
        <w:t xml:space="preserve">, Progressive's insurance subsidiaries continued to generate underwriting profitability above their 4% companywide calendar-year underwriting profit goal during the second quarter 2026, producing a companywide underwriting profit margin of 12.7%, though that was down from 13.8% a year ago.</w:t>
      </w:r>
    </w:p>
    <w:p>
      <w:pPr>
        <w:pStyle w:val="Compact"/>
        <w:numPr>
          <w:ilvl w:val="0"/>
          <w:numId w:val="1001"/>
        </w:numPr>
      </w:pPr>
      <w:r>
        <w:t xml:space="preserve">Companywide net premiums written were $21.1 billion, an increase of 5% compared to the second quarter last year, while net premiums earned increased 6%, and the company surpassed the 40 million policies in force milestone, ending the quarter with 2.8 million more policies in force than at June 30, 2025.</w:t>
      </w:r>
    </w:p>
    <w:p>
      <w:pPr>
        <w:pStyle w:val="Compact"/>
        <w:numPr>
          <w:ilvl w:val="0"/>
          <w:numId w:val="1001"/>
        </w:numPr>
      </w:pPr>
      <w:r>
        <w:t xml:space="preserve">Segment profitability diverged: Personal Lines reported an underwriting profit margin of 12.4% for the second quarter, compared to 14.0% for the same period last year, while net premiums written increased 5% and policies in force increased 8%. Commercial Lines reported an underwriting profit margin of 14.7% for the second quarter 2026, compared to 13.2% in the same period last year, with net premiums written up 4% and policies in force up 3%.</w:t>
      </w:r>
    </w:p>
    <w:p>
      <w:pPr>
        <w:pStyle w:val="Compact"/>
        <w:numPr>
          <w:ilvl w:val="0"/>
          <w:numId w:val="1001"/>
        </w:numPr>
      </w:pPr>
      <w:r>
        <w:t xml:space="preserve">On Wall Street's scorecard, adjusted EPS of $4.86 beat the analyst consensus estimate of $4.77, while revenue (net premiums earned) increased 6% year over year to $21.57 billion but narrowly missed the consensus estimate of $21.60 billion.</w:t>
      </w:r>
    </w:p>
    <w:bookmarkEnd w:id="10"/>
    <w:bookmarkStart w:id="11" w:name="X666a4e52e196a34d951aec41389e00d1acbab1c"/>
    <w:p>
      <w:pPr>
        <w:pStyle w:val="Heading2"/>
      </w:pPr>
      <w:r>
        <w:t xml:space="preserve">The core investor debate: growth is decelerating, competition is intensifying</w:t>
      </w:r>
    </w:p>
    <w:p>
      <w:pPr>
        <w:pStyle w:val="FirstParagraph"/>
      </w:pPr>
      <w:r>
        <w:t xml:space="preserve">Management's own MD&amp;A frames the central tension for the stock: Progressive reported steady year-over-year growth in both premiums and policies in force despite increased competition in the marketplace, but that growth is clearly cooling from the breakneck pace of 2025. Personal Lines net premiums written growth of 5% and PIF growth of 8% follows significant increases in the second quarter last year, which had net premiums written growth of 15% and policies in force growth of 16%. Retention metrics tell a similar story — trailing 12-month total personal auto policy life expectancy decreased 8% year over year, while trailing 3-month policy life expectancy decreased 9%, which management believes was primarily due to increased shopping and competition in the marketplace.</w:t>
      </w:r>
    </w:p>
    <w:p>
      <w:pPr>
        <w:pStyle w:val="BodyText"/>
      </w:pPr>
      <w:r>
        <w:t xml:space="preserve">On the Q1 call, CEO Tricia Griffith was candid that the industry's extraordinary profitability is inviting competitive pressure: "We don't know how long the soft market will prevail, but we have definitely seen a lot more competition because everyone has great margins." Progressive's response has been to keep pressing the advertising accelerator rather than defend margin: during the second quarter 2026, advertising expense was $1.4 billion, or 16% higher than the second quarter last year, contributing roughly 0.5 points to the expense ratio. Investors should listen closely tomorrow for whether that ad-spend cadence continues into H2 and how management characterizes cost-per-sale versus target acquisition cost, a topic they've flagged as a key lever.</w:t>
      </w:r>
    </w:p>
    <w:bookmarkEnd w:id="11"/>
    <w:bookmarkStart w:id="12" w:name="Xe37b6ac6a617691d9bffd9ba8535336c2906062"/>
    <w:p>
      <w:pPr>
        <w:pStyle w:val="Heading2"/>
      </w:pPr>
      <w:r>
        <w:t xml:space="preserve">Loss trends — bodily injury severity remains the swing factor</w:t>
      </w:r>
    </w:p>
    <w:p>
      <w:pPr>
        <w:pStyle w:val="FirstParagraph"/>
      </w:pPr>
      <w:r>
        <w:t xml:space="preserve">Total loss and LAE ratio increased 0.6 points and 0.4 points for the three and six months ended June 30, 2026, respectively, primarily due to higher severity, partially offset by greater favorable prior accident years reserve development. The severity story is concentrated in bodily injury: the year-over-year increase in total severity was predominantly driven by bodily injury coverage, due to higher medical costs, more large losses, and a higher rate of plaintiff-attorney represented claims. Frequency, by contrast, is helping — total personal auto incurred frequency fell 2% for the quarter and 1% year-to-date. Catastrophe losses were roughly flat to slightly higher ($773 million in Q2 2026 vs. $707 million a year ago, 3.6 vs 3.5 points), and property underwriting margins remain a bright spot, benefiting from lower catastrophe activity and rate increases.</w:t>
      </w:r>
    </w:p>
    <w:bookmarkEnd w:id="12"/>
    <w:bookmarkStart w:id="13" w:name="Xd9a11c002b8d8c4af8dcf7820fd9f64f1b1723a"/>
    <w:p>
      <w:pPr>
        <w:pStyle w:val="Heading2"/>
      </w:pPr>
      <w:r>
        <w:t xml:space="preserve">The Robinsons/property deep dive — tomorrow's main event</w:t>
      </w:r>
    </w:p>
    <w:p>
      <w:pPr>
        <w:pStyle w:val="FirstParagraph"/>
      </w:pPr>
      <w:r>
        <w:t xml:space="preserve">Management has been telegraphing this topic for two quarters. On the Q1 call, Personal Lines President Pat Callahan sized the opportunity explicitly: penetrating the "Robinsons" (bundled auto+home) segment represents "a $40 billion to</w:t>
      </w:r>
      <w:r>
        <w:t xml:space="preserve"> </w:t>
      </w:r>
      <w:r>
        <w:t xml:space="preserve">$50 billion top line opportunity," noting Progressive holds roughly 20% share of its other consumer segments but is under-penetrated in the ~$</w:t>
      </w:r>
      <w:r>
        <w:t xml:space="preserve">240 billion Robinsons pool. Expect tomorrow's presentation to cover:</w:t>
      </w:r>
    </w:p>
    <w:p>
      <w:pPr>
        <w:pStyle w:val="Compact"/>
        <w:numPr>
          <w:ilvl w:val="0"/>
          <w:numId w:val="1002"/>
        </w:numPr>
      </w:pPr>
      <w:r>
        <w:t xml:space="preserve">Progress unwinding property underwriting restrictions put in place in 2025 (older roofs, high-value homes, non-bundled policies) — the 10-Q notes these restrictions "continued to adversely impact new business application growth in 2026" in some markets even as availability expands elsewhere.</w:t>
      </w:r>
    </w:p>
    <w:p>
      <w:pPr>
        <w:pStyle w:val="Compact"/>
        <w:numPr>
          <w:ilvl w:val="0"/>
          <w:numId w:val="1002"/>
        </w:numPr>
      </w:pPr>
      <w:r>
        <w:t xml:space="preserve">Bundling economics and cross-sell strategy in the agency channel, including the roughly 29 "Platinum agent" roundtables held in Q1 (with 19 more planned in Q2) aimed at diagnosing agent-side barriers to Robinsons growth.</w:t>
      </w:r>
    </w:p>
    <w:p>
      <w:pPr>
        <w:pStyle w:val="Compact"/>
        <w:numPr>
          <w:ilvl w:val="0"/>
          <w:numId w:val="1002"/>
        </w:numPr>
      </w:pPr>
      <w:r>
        <w:t xml:space="preserve">Any update on personal property rate actions (aggregate ~3% YTD increase) and geographic diversification efforts.</w:t>
      </w:r>
    </w:p>
    <w:bookmarkEnd w:id="13"/>
    <w:bookmarkStart w:id="14" w:name="X3c22c661ab453f2345411ab5d25a08f1aa469d4"/>
    <w:p>
      <w:pPr>
        <w:pStyle w:val="Heading2"/>
      </w:pPr>
      <w:r>
        <w:t xml:space="preserve">Capital return — the other big swing factor for the stock</w:t>
      </w:r>
    </w:p>
    <w:p>
      <w:pPr>
        <w:pStyle w:val="FirstParagraph"/>
      </w:pPr>
      <w:r>
        <w:t xml:space="preserve">This is arguably the most consequential debate heading into the print, given 2025's outsized distribution. Progressive became the nation's largest personal auto insurer this year and paid out a record 2025 dividend of $8 billion to shareholders, and the company now faces a combination of strong profitability and slowing growth. Net premiums earned rose 6% in the quarter ended June 30 to $21.57 billion, down from an 18% year-over-year increase in the same period in 2025, and policies in force climbed 7%, slower than last year's pace of 15%. Wolfe Research estimates Progressive will return $6.6 billion through dividends and another $2.3 billion through buybacks, with the company currently holding $13 billion in excess capital.</w:t>
      </w:r>
    </w:p>
    <w:p>
      <w:pPr>
        <w:pStyle w:val="BodyText"/>
      </w:pPr>
      <w:r>
        <w:t xml:space="preserve">Balance-sheet context from the 10-Q supports the "excess capital" thesis: total capital (debt plus shareholders' equity) was $42.7 billion at June 30, 2026, an increase of $5.5 billion from year-end 2025, and the company held $6.7 billion in a consolidated, non-insurance subsidiary that can be used to fund corporate obligations and provide additional capital to insurance subsidiaries. On the Q1 call, CIO Jon Bauer and outgoing CFO John Sauerland detailed the framework: regulators approved raising statutory premium-to-surplus limits to 3.5:1 at most operating subsidiaries (from 3:1), which frees up capital for buybacks, M&amp;A, or another special dividend; the company also issued $1.5 billion of senior notes in Q1 to push financial leverage back above 20% (debt-to-total-capital ratio was 19.6% at quarter-end, within its &lt;30% policy ceiling). Analysts will likely press tomorrow on whether a 2025-style mega dividend repeats at year-end or whether buybacks (only $1.1 billion in H1 2026) get scaled up instead.</w:t>
      </w:r>
    </w:p>
    <w:bookmarkEnd w:id="14"/>
    <w:bookmarkStart w:id="15" w:name="Xddde32e3df0781e9be98402848e623fba95a987"/>
    <w:p>
      <w:pPr>
        <w:pStyle w:val="Heading2"/>
      </w:pPr>
      <w:r>
        <w:t xml:space="preserve">Street reaction and positioning into the print</w:t>
      </w:r>
    </w:p>
    <w:p>
      <w:pPr>
        <w:pStyle w:val="FirstParagraph"/>
      </w:pPr>
      <w:r>
        <w:t xml:space="preserve">The market's initial reaction to the July 15 release was negative — PGR shares fell from roughly $226 to</w:t>
      </w:r>
      <w:r>
        <w:t xml:space="preserve"> </w:t>
      </w:r>
      <m:oMath>
        <m:r>
          <m:t>205</m:t>
        </m:r>
        <m:r>
          <m:rPr>
            <m:sty m:val="p"/>
          </m:rPr>
          <m:t>(</m:t>
        </m:r>
        <m:r>
          <m:t>a</m:t>
        </m:r>
        <m:r>
          <m:t>b</m:t>
        </m:r>
        <m:r>
          <m:t>o</m:t>
        </m:r>
        <m:r>
          <m:t>u</m:t>
        </m:r>
        <m:r>
          <m:t>t</m:t>
        </m:r>
        <m:r>
          <m:t>9</m:t>
        </m:r>
      </m:oMath>
      <w:r>
        <w:t xml:space="preserve">210.50 as of August 3. Sell-side sentiment has turned more cautious since the Q2 numbers came out: Keefe, Bruyette &amp; Woods lowered its price target from $231 to $226 while maintaining Market Perform, and BMO Capital lowered its target from $220 to $205, also maintaining Market Perform. More broadly, Wells Fargo cut its price target to $198 from $205 and kept an Underweight rating, noting shares remain expensive, while the average 12-month price target across roughly 25 analysts sits around $230, with a consensus "Hold" rating. This mix of a still-premium valuation, decelerating growth, and a "Hold"-heavy Street suggests expectations are fairly balanced — a further growth deceleration or negative capital-return signal could pressure shares, while an upbeat Robinsons opportunity framing or reaffirmed underwriting discipline (comfortably inside the 96% combined ratio target) could support the stock.</w:t>
      </w:r>
    </w:p>
    <w:bookmarkEnd w:id="15"/>
    <w:bookmarkStart w:id="16" w:name="key-things-to-watch-on-tomorrows-call"/>
    <w:p>
      <w:pPr>
        <w:pStyle w:val="Heading2"/>
      </w:pPr>
      <w:r>
        <w:t xml:space="preserve">Key things to watch on tomorrow's call</w:t>
      </w:r>
    </w:p>
    <w:p>
      <w:pPr>
        <w:pStyle w:val="Compact"/>
        <w:numPr>
          <w:ilvl w:val="0"/>
          <w:numId w:val="1003"/>
        </w:numPr>
      </w:pPr>
      <w:r>
        <w:rPr>
          <w:b/>
          <w:bCs/>
        </w:rPr>
        <w:t xml:space="preserve">Robinsons/property growth trajectory</w:t>
      </w:r>
      <w:r>
        <w:t xml:space="preserve"> </w:t>
      </w:r>
      <w:r>
        <w:t xml:space="preserve">— TAM sizing, timeline for restrictions to lift further, and early cross-sell traction.</w:t>
      </w:r>
    </w:p>
    <w:p>
      <w:pPr>
        <w:pStyle w:val="Compact"/>
        <w:numPr>
          <w:ilvl w:val="0"/>
          <w:numId w:val="1003"/>
        </w:numPr>
      </w:pPr>
      <w:r>
        <w:rPr>
          <w:b/>
          <w:bCs/>
        </w:rPr>
        <w:t xml:space="preserve">Advertising spend cadence</w:t>
      </w:r>
      <w:r>
        <w:t xml:space="preserve"> </w:t>
      </w:r>
      <w:r>
        <w:t xml:space="preserve">— whether the 16-18% y/y increases persist into H2 and how cost-per-sale trends versus target acquisition cost.</w:t>
      </w:r>
    </w:p>
    <w:p>
      <w:pPr>
        <w:pStyle w:val="Compact"/>
        <w:numPr>
          <w:ilvl w:val="0"/>
          <w:numId w:val="1003"/>
        </w:numPr>
      </w:pPr>
      <w:r>
        <w:rPr>
          <w:b/>
          <w:bCs/>
        </w:rPr>
        <w:t xml:space="preserve">Capital return signal</w:t>
      </w:r>
      <w:r>
        <w:t xml:space="preserve"> </w:t>
      </w:r>
      <w:r>
        <w:t xml:space="preserve">— any hints on a repeat special dividend for year-end 2026 vs. accelerated buybacks, and further premium-to-surplus optimization.</w:t>
      </w:r>
    </w:p>
    <w:p>
      <w:pPr>
        <w:pStyle w:val="Compact"/>
        <w:numPr>
          <w:ilvl w:val="0"/>
          <w:numId w:val="1003"/>
        </w:numPr>
      </w:pPr>
      <w:r>
        <w:rPr>
          <w:b/>
          <w:bCs/>
        </w:rPr>
        <w:t xml:space="preserve">Severity/frequency commentary</w:t>
      </w:r>
      <w:r>
        <w:t xml:space="preserve"> </w:t>
      </w:r>
      <w:r>
        <w:t xml:space="preserve">— particularly bodily injury inflation and attorney representation rates, plus commercial auto (nuclear verdicts, social inflation) trends.</w:t>
      </w:r>
    </w:p>
    <w:p>
      <w:pPr>
        <w:pStyle w:val="Compact"/>
        <w:numPr>
          <w:ilvl w:val="0"/>
          <w:numId w:val="1003"/>
        </w:numPr>
      </w:pPr>
      <w:r>
        <w:rPr>
          <w:b/>
          <w:bCs/>
        </w:rPr>
        <w:t xml:space="preserve">Competitive dynamics</w:t>
      </w:r>
      <w:r>
        <w:t xml:space="preserve"> </w:t>
      </w:r>
      <w:r>
        <w:t xml:space="preserve">— commentary on peers moving into agency/direct channels and pricing behavior as industry-wide profitability invites more competition.</w:t>
      </w:r>
    </w:p>
    <w:p>
      <w:pPr>
        <w:pStyle w:val="Compact"/>
        <w:numPr>
          <w:ilvl w:val="0"/>
          <w:numId w:val="1003"/>
        </w:numPr>
      </w:pPr>
      <w:r>
        <w:rPr>
          <w:b/>
          <w:bCs/>
        </w:rPr>
        <w:t xml:space="preserve">Personal Lines vs. Commercial Lines margin trajectory</w:t>
      </w:r>
      <w:r>
        <w:t xml:space="preserve"> </w:t>
      </w:r>
      <w:r>
        <w:t xml:space="preserve">— whether Commercial Lines' outperformance (14.7% margin) continues as core commercial auto rates stay roughly flat.</w:t>
      </w:r>
    </w:p>
    <w:p>
      <w:r>
        <w:pict>
          <v:rect style="width:0;height:1.5pt" o:hralign="center" o:hrstd="t" o:hr="t"/>
        </w:pict>
      </w:r>
    </w:p>
    <w:p>
      <w:pPr>
        <w:pStyle w:val="FirstParagraph"/>
      </w:pPr>
      <w:r>
        <w:rPr>
          <w:b/>
          <w:bCs/>
        </w:rPr>
        <w:t xml:space="preserve">Bottom line:</w:t>
      </w:r>
      <w:r>
        <w:t xml:space="preserve"> </w:t>
      </w:r>
      <w:r>
        <w:t xml:space="preserve">Progressive heads into tomorrow's call with the hard numbers already public — still-profitable growth, decelerating but still above-average premium and policy growth, a still-comfortable capital position, and a Street that has been trimming price targets post-release. The incremental catalyst is qualitative: management's strategic pitch on unlocking the Robinsons/bundled-property opportunity and any fresh signal on how (and how much) excess capital gets returned to shareholders in the back half of 2026.</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2026-08-04T01:23:38Z</dcterms:created>
  <dcterms:modified xsi:type="dcterms:W3CDTF">2026-08-04T01:23:38Z</dcterms:modified>
</cp:coreProperties>
</file>

<file path=docProps/custom.xml><?xml version="1.0" encoding="utf-8"?>
<Properties xmlns="http://schemas.openxmlformats.org/officeDocument/2006/custom-properties" xmlns:vt="http://schemas.openxmlformats.org/officeDocument/2006/docPropsVTypes"/>
</file>