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r-earnings-predictions--2026-08-04"/>
    <w:p>
      <w:pPr>
        <w:pStyle w:val="Heading1"/>
      </w:pPr>
      <w:r>
        <w:t xml:space="preserve">PGR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~$5.67 vs. cons $4.73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companywide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~87.3% vs. cons 88.4%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premiums earned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~$21.57B vs. cons $21.60B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Companywide net-premium-written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Companywide policies-in-force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~6.5%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Companywide underwriting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~8.5% vs. cons 9.5%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(FOLLOW-THROUGH)</w:t>
            </w:r>
          </w:p>
        </w:tc>
        <w:tc>
          <w:tcPr/>
          <w:p>
            <w:pPr>
              <w:pStyle w:val="Compact"/>
            </w:pPr>
            <w:r>
              <w:t xml:space="preserve">Lower growth and margin assumptions imply FY2026 EPS revisions of approximately -3% versus roughly 0% before the call; those out-period cuts should outweigh the already-reported Q2 EPS beat and drive modest negative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2026-08-04T01:23:08Z</dcterms:created>
  <dcterms:modified xsi:type="dcterms:W3CDTF">2026-08-04T01:23:08Z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