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f04e102e31f059a6cc7bdbd2199022667def810"/>
    <w:p>
      <w:pPr>
        <w:pStyle w:val="Heading1"/>
      </w:pPr>
      <w:r>
        <w:t xml:space="preserve">Progressive (NYSE: PGR) — 2026 Q2 Investor Call Preview</w:t>
      </w:r>
    </w:p>
    <w:p>
      <w:pPr>
        <w:pStyle w:val="BlockText"/>
      </w:pPr>
      <w:r>
        <w:rPr>
          <w:b/>
          <w:bCs/>
        </w:rPr>
        <w:t xml:space="preserve">Timing clarification:</w:t>
      </w:r>
      <w:r>
        <w:t xml:space="preserve"> </w:t>
      </w:r>
      <w:r>
        <w:t xml:space="preserve">Progressive released its second-quarter results on</w:t>
      </w:r>
      <w:r>
        <w:t xml:space="preserve"> </w:t>
      </w:r>
      <w:r>
        <w:rPr>
          <w:b/>
          <w:bCs/>
        </w:rPr>
        <w:t xml:space="preserve">July 15, 2026</w:t>
      </w:r>
      <w:r>
        <w:t xml:space="preserve">, filed its 10-Q on</w:t>
      </w:r>
      <w:r>
        <w:t xml:space="preserve"> </w:t>
      </w:r>
      <w:r>
        <w:rPr>
          <w:b/>
          <w:bCs/>
        </w:rPr>
        <w:t xml:space="preserve">August 3</w:t>
      </w:r>
      <w:r>
        <w:t xml:space="preserve">, and scheduled its investor call for</w:t>
      </w:r>
      <w:r>
        <w:t xml:space="preserve"> </w:t>
      </w:r>
      <w:r>
        <w:rPr>
          <w:b/>
          <w:bCs/>
        </w:rPr>
        <w:t xml:space="preserve">today, August 4, 2026, at 9:30 a.m. ET</w:t>
      </w:r>
      <w:r>
        <w:t xml:space="preserve">—not tomorrow. The key event is therefore management’s discussion and Q&amp;A, including a planned deep dive into the</w:t>
      </w:r>
      <w:r>
        <w:t xml:space="preserve"> </w:t>
      </w:r>
      <w:r>
        <w:rPr>
          <w:b/>
          <w:bCs/>
        </w:rPr>
        <w:t xml:space="preserve">“Robinsons” bundled auto-and-home customer segment</w:t>
      </w:r>
      <w:r>
        <w:t xml:space="preserve">, rather than a conventional earnings release.</w:t>
      </w:r>
    </w:p>
    <w:bookmarkStart w:id="9" w:name="executive-view"/>
    <w:p>
      <w:pPr>
        <w:pStyle w:val="Heading2"/>
      </w:pPr>
      <w:r>
        <w:t xml:space="preserve">Executive view</w:t>
      </w:r>
    </w:p>
    <w:p>
      <w:pPr>
        <w:pStyle w:val="FirstParagraph"/>
      </w:pPr>
      <w:r>
        <w:t xml:space="preserve">Progressive enters the call with outstanding absolute underwriting profitability, continued policy growth, and abundant capital. The debate is no longer whether the company is executing well—it is whether its exceptional margins and market-share gains can remain exceptional as competition intensifies.</w:t>
      </w:r>
    </w:p>
    <w:p>
      <w:pPr>
        <w:pStyle w:val="BodyText"/>
      </w:pPr>
      <w:r>
        <w:t xml:space="preserve">The quarter contained both sides of that debate:</w:t>
      </w:r>
    </w:p>
    <w:p>
      <w:pPr>
        <w:pStyle w:val="Compact"/>
        <w:numPr>
          <w:ilvl w:val="0"/>
          <w:numId w:val="1001"/>
        </w:numPr>
      </w:pPr>
      <w:r>
        <w:t xml:space="preserve">The</w:t>
      </w:r>
      <w:r>
        <w:t xml:space="preserve"> </w:t>
      </w:r>
      <w:r>
        <w:rPr>
          <w:b/>
          <w:bCs/>
        </w:rPr>
        <w:t xml:space="preserve">87.3 combined ratio</w:t>
      </w:r>
      <w:r>
        <w:t xml:space="preserve"> </w:t>
      </w:r>
      <w:r>
        <w:t xml:space="preserve">remained far better than Progressive’s 96 target.</w:t>
      </w:r>
    </w:p>
    <w:p>
      <w:pPr>
        <w:pStyle w:val="Compact"/>
        <w:numPr>
          <w:ilvl w:val="0"/>
          <w:numId w:val="1001"/>
        </w:numPr>
      </w:pPr>
      <w:r>
        <w:t xml:space="preserve">Policies in force increased</w:t>
      </w:r>
      <w:r>
        <w:t xml:space="preserve"> </w:t>
      </w:r>
      <w:r>
        <w:rPr>
          <w:b/>
          <w:bCs/>
        </w:rPr>
        <w:t xml:space="preserve">7%</w:t>
      </w:r>
      <w:r>
        <w:t xml:space="preserve">, passing 40 million.</w:t>
      </w:r>
    </w:p>
    <w:p>
      <w:pPr>
        <w:pStyle w:val="Compact"/>
        <w:numPr>
          <w:ilvl w:val="0"/>
          <w:numId w:val="1001"/>
        </w:numPr>
      </w:pPr>
      <w:r>
        <w:t xml:space="preserve">Yet premium growth moderated to</w:t>
      </w:r>
      <w:r>
        <w:t xml:space="preserve"> </w:t>
      </w:r>
      <w:r>
        <w:rPr>
          <w:b/>
          <w:bCs/>
        </w:rPr>
        <w:t xml:space="preserve">5%</w:t>
      </w:r>
      <w:r>
        <w:t xml:space="preserve">, personal-auto retention deteriorated, and the accident-year loss ratio moved higher.</w:t>
      </w:r>
    </w:p>
    <w:p>
      <w:pPr>
        <w:pStyle w:val="Compact"/>
        <w:numPr>
          <w:ilvl w:val="0"/>
          <w:numId w:val="1001"/>
        </w:numPr>
      </w:pPr>
      <w:r>
        <w:t xml:space="preserve">Progressive is spending aggressively on advertising and taking modest rate reductions to sustain growth.</w:t>
      </w:r>
    </w:p>
    <w:p>
      <w:pPr>
        <w:pStyle w:val="Compact"/>
        <w:numPr>
          <w:ilvl w:val="0"/>
          <w:numId w:val="1001"/>
        </w:numPr>
      </w:pPr>
      <w:r>
        <w:t xml:space="preserve">Bodily-injury severity remains elevated, while favorable prior-year reserve development is supporting reported results.</w:t>
      </w:r>
    </w:p>
    <w:p>
      <w:pPr>
        <w:pStyle w:val="FirstParagraph"/>
      </w:pPr>
      <w:r>
        <w:t xml:space="preserve">The most important signal from the call will be management’s assessment of the trade-off between</w:t>
      </w:r>
      <w:r>
        <w:t xml:space="preserve"> </w:t>
      </w:r>
      <w:r>
        <w:rPr>
          <w:b/>
          <w:bCs/>
        </w:rPr>
        <w:t xml:space="preserve">growth and normalized margins</w:t>
      </w:r>
      <w:r>
        <w:t xml:space="preserve">. Investors should expect margins to compress from recent exceptional levels; the question is whether that compression represents deliberate reinvestment from a position of strength or the beginning of a less favorable pricing cycle.</w:t>
      </w:r>
    </w:p>
    <w:p>
      <w:r>
        <w:pict>
          <v:rect style="width:0;height:1.5pt" o:hralign="center" o:hrstd="t" o:hr="t"/>
        </w:pict>
      </w:r>
    </w:p>
    <w:bookmarkEnd w:id="9"/>
    <w:bookmarkStart w:id="10" w:name="q2-scorecard"/>
    <w:p>
      <w:pPr>
        <w:pStyle w:val="Heading2"/>
      </w:pPr>
      <w:r>
        <w:t xml:space="preserve">Q2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2026 Q2</w:t>
            </w:r>
          </w:p>
        </w:tc>
        <w:tc>
          <w:tcPr/>
          <w:p>
            <w:pPr>
              <w:pStyle w:val="Compact"/>
              <w:jc w:val="right"/>
            </w:pPr>
            <w:r>
              <w:t xml:space="preserve">YoY change / comparison</w:t>
            </w:r>
          </w:p>
        </w:tc>
      </w:tr>
      <w:tr>
        <w:tc>
          <w:tcPr/>
          <w:p>
            <w:pPr>
              <w:pStyle w:val="Compact"/>
            </w:pPr>
            <w:r>
              <w:t xml:space="preserve">Net premiums written</w:t>
            </w:r>
          </w:p>
        </w:tc>
        <w:tc>
          <w:tcPr/>
          <w:p>
            <w:pPr>
              <w:pStyle w:val="Compact"/>
              <w:jc w:val="right"/>
            </w:pPr>
            <w:r>
              <w:rPr>
                <w:b/>
                <w:bCs/>
              </w:rPr>
              <w:t xml:space="preserve">$21.1B</w:t>
            </w:r>
          </w:p>
        </w:tc>
        <w:tc>
          <w:tcPr/>
          <w:p>
            <w:pPr>
              <w:pStyle w:val="Compact"/>
              <w:jc w:val="right"/>
            </w:pPr>
            <w:r>
              <w:rPr>
                <w:b/>
                <w:bCs/>
              </w:rPr>
              <w:t xml:space="preserve">+5%</w:t>
            </w:r>
          </w:p>
        </w:tc>
      </w:tr>
      <w:tr>
        <w:tc>
          <w:tcPr/>
          <w:p>
            <w:pPr>
              <w:pStyle w:val="Compact"/>
            </w:pPr>
            <w:r>
              <w:t xml:space="preserve">Net premiums earned</w:t>
            </w:r>
          </w:p>
        </w:tc>
        <w:tc>
          <w:tcPr/>
          <w:p>
            <w:pPr>
              <w:pStyle w:val="Compact"/>
              <w:jc w:val="right"/>
            </w:pPr>
            <w:r>
              <w:rPr>
                <w:b/>
                <w:bCs/>
              </w:rPr>
              <w:t xml:space="preserve">$21.6B</w:t>
            </w:r>
          </w:p>
        </w:tc>
        <w:tc>
          <w:tcPr/>
          <w:p>
            <w:pPr>
              <w:pStyle w:val="Compact"/>
              <w:jc w:val="right"/>
            </w:pPr>
            <w:r>
              <w:rPr>
                <w:b/>
                <w:bCs/>
              </w:rPr>
              <w:t xml:space="preserve">+6%</w:t>
            </w:r>
          </w:p>
        </w:tc>
      </w:tr>
      <w:tr>
        <w:tc>
          <w:tcPr/>
          <w:p>
            <w:pPr>
              <w:pStyle w:val="Compact"/>
            </w:pPr>
            <w:r>
              <w:t xml:space="preserve">Net income</w:t>
            </w:r>
          </w:p>
        </w:tc>
        <w:tc>
          <w:tcPr/>
          <w:p>
            <w:pPr>
              <w:pStyle w:val="Compact"/>
              <w:jc w:val="right"/>
            </w:pPr>
            <w:r>
              <w:rPr>
                <w:b/>
                <w:bCs/>
              </w:rPr>
              <w:t xml:space="preserve">$3.31B</w:t>
            </w:r>
          </w:p>
        </w:tc>
        <w:tc>
          <w:tcPr/>
          <w:p>
            <w:pPr>
              <w:pStyle w:val="Compact"/>
              <w:jc w:val="right"/>
            </w:pPr>
            <w:r>
              <w:rPr>
                <w:b/>
                <w:bCs/>
              </w:rPr>
              <w:t xml:space="preserve">+4%</w:t>
            </w:r>
          </w:p>
        </w:tc>
      </w:tr>
      <w:tr>
        <w:tc>
          <w:tcPr/>
          <w:p>
            <w:pPr>
              <w:pStyle w:val="Compact"/>
            </w:pPr>
            <w:r>
              <w:t xml:space="preserve">EPS available to common shareholders</w:t>
            </w:r>
          </w:p>
        </w:tc>
        <w:tc>
          <w:tcPr/>
          <w:p>
            <w:pPr>
              <w:pStyle w:val="Compact"/>
              <w:jc w:val="right"/>
            </w:pPr>
            <w:r>
              <w:rPr>
                <w:b/>
                <w:bCs/>
              </w:rPr>
              <w:t xml:space="preserve">$5.67</w:t>
            </w:r>
          </w:p>
        </w:tc>
        <w:tc>
          <w:tcPr/>
          <w:p>
            <w:pPr>
              <w:pStyle w:val="Compact"/>
              <w:jc w:val="right"/>
            </w:pPr>
            <w:r>
              <w:rPr>
                <w:b/>
                <w:bCs/>
              </w:rPr>
              <w:t xml:space="preserve">+5%</w:t>
            </w:r>
          </w:p>
        </w:tc>
      </w:tr>
      <w:tr>
        <w:tc>
          <w:tcPr/>
          <w:p>
            <w:pPr>
              <w:pStyle w:val="Compact"/>
            </w:pPr>
            <w:r>
              <w:t xml:space="preserve">Combined ratio</w:t>
            </w:r>
          </w:p>
        </w:tc>
        <w:tc>
          <w:tcPr/>
          <w:p>
            <w:pPr>
              <w:pStyle w:val="Compact"/>
              <w:jc w:val="right"/>
            </w:pPr>
            <w:r>
              <w:rPr>
                <w:b/>
                <w:bCs/>
              </w:rPr>
              <w:t xml:space="preserve">87.3</w:t>
            </w:r>
          </w:p>
        </w:tc>
        <w:tc>
          <w:tcPr/>
          <w:p>
            <w:pPr>
              <w:pStyle w:val="Compact"/>
              <w:jc w:val="right"/>
            </w:pPr>
            <w:r>
              <w:t xml:space="preserve">+1.1 pts</w:t>
            </w:r>
          </w:p>
        </w:tc>
      </w:tr>
      <w:tr>
        <w:tc>
          <w:tcPr/>
          <w:p>
            <w:pPr>
              <w:pStyle w:val="Compact"/>
            </w:pPr>
            <w:r>
              <w:t xml:space="preserve">Underwriting profit margin</w:t>
            </w:r>
          </w:p>
        </w:tc>
        <w:tc>
          <w:tcPr/>
          <w:p>
            <w:pPr>
              <w:pStyle w:val="Compact"/>
              <w:jc w:val="right"/>
            </w:pPr>
            <w:r>
              <w:rPr>
                <w:b/>
                <w:bCs/>
              </w:rPr>
              <w:t xml:space="preserve">12.7%</w:t>
            </w:r>
          </w:p>
        </w:tc>
        <w:tc>
          <w:tcPr/>
          <w:p>
            <w:pPr>
              <w:pStyle w:val="Compact"/>
              <w:jc w:val="right"/>
            </w:pPr>
            <w:r>
              <w:t xml:space="preserve">Down from 13.8%</w:t>
            </w:r>
          </w:p>
        </w:tc>
      </w:tr>
      <w:tr>
        <w:tc>
          <w:tcPr/>
          <w:p>
            <w:pPr>
              <w:pStyle w:val="Compact"/>
            </w:pPr>
            <w:r>
              <w:t xml:space="preserve">Total policies in force</w:t>
            </w:r>
          </w:p>
        </w:tc>
        <w:tc>
          <w:tcPr/>
          <w:p>
            <w:pPr>
              <w:pStyle w:val="Compact"/>
              <w:jc w:val="right"/>
            </w:pPr>
            <w:r>
              <w:rPr>
                <w:b/>
                <w:bCs/>
              </w:rPr>
              <w:t xml:space="preserve">40.1M</w:t>
            </w:r>
          </w:p>
        </w:tc>
        <w:tc>
          <w:tcPr/>
          <w:p>
            <w:pPr>
              <w:pStyle w:val="Compact"/>
              <w:jc w:val="right"/>
            </w:pPr>
            <w:r>
              <w:rPr>
                <w:b/>
                <w:bCs/>
              </w:rPr>
              <w:t xml:space="preserve">+7%</w:t>
            </w:r>
          </w:p>
        </w:tc>
      </w:tr>
      <w:tr>
        <w:tc>
          <w:tcPr/>
          <w:p>
            <w:pPr>
              <w:pStyle w:val="Compact"/>
            </w:pPr>
            <w:r>
              <w:t xml:space="preserve">Personal Lines PIF</w:t>
            </w:r>
          </w:p>
        </w:tc>
        <w:tc>
          <w:tcPr/>
          <w:p>
            <w:pPr>
              <w:pStyle w:val="Compact"/>
              <w:jc w:val="right"/>
            </w:pPr>
            <w:r>
              <w:rPr>
                <w:b/>
                <w:bCs/>
              </w:rPr>
              <w:t xml:space="preserve">38.9M</w:t>
            </w:r>
          </w:p>
        </w:tc>
        <w:tc>
          <w:tcPr/>
          <w:p>
            <w:pPr>
              <w:pStyle w:val="Compact"/>
              <w:jc w:val="right"/>
            </w:pPr>
            <w:r>
              <w:rPr>
                <w:b/>
                <w:bCs/>
              </w:rPr>
              <w:t xml:space="preserve">+8%</w:t>
            </w:r>
          </w:p>
        </w:tc>
      </w:tr>
      <w:tr>
        <w:tc>
          <w:tcPr/>
          <w:p>
            <w:pPr>
              <w:pStyle w:val="Compact"/>
            </w:pPr>
            <w:r>
              <w:t xml:space="preserve">Commercial Lines PIF</w:t>
            </w:r>
          </w:p>
        </w:tc>
        <w:tc>
          <w:tcPr/>
          <w:p>
            <w:pPr>
              <w:pStyle w:val="Compact"/>
              <w:jc w:val="right"/>
            </w:pPr>
            <w:r>
              <w:rPr>
                <w:b/>
                <w:bCs/>
              </w:rPr>
              <w:t xml:space="preserve">1.23M</w:t>
            </w:r>
          </w:p>
        </w:tc>
        <w:tc>
          <w:tcPr/>
          <w:p>
            <w:pPr>
              <w:pStyle w:val="Compact"/>
              <w:jc w:val="right"/>
            </w:pPr>
            <w:r>
              <w:rPr>
                <w:b/>
                <w:bCs/>
              </w:rPr>
              <w:t xml:space="preserve">+3%</w:t>
            </w:r>
          </w:p>
        </w:tc>
      </w:tr>
    </w:tbl>
    <w:p>
      <w:pPr>
        <w:pStyle w:val="BodyText"/>
      </w:pPr>
      <w:r>
        <w:t xml:space="preserve">These are strong results, but the composition matters. Q2 benefited from</w:t>
      </w:r>
      <w:r>
        <w:t xml:space="preserve"> </w:t>
      </w:r>
      <w:r>
        <w:rPr>
          <w:b/>
          <w:bCs/>
        </w:rPr>
        <w:t xml:space="preserve">$551 million of favorable prior-accident-year development</w:t>
      </w:r>
      <w:r>
        <w:t xml:space="preserve">, equivalent to 2.6 combined-ratio points. The accident-year loss ratio rose to 70.0 from 68.4, and adding the 19.9 expense ratio implies an accident-year combined ratio of approximately</w:t>
      </w:r>
      <w:r>
        <w:t xml:space="preserve"> </w:t>
      </w:r>
      <w:r>
        <w:rPr>
          <w:b/>
          <w:bCs/>
        </w:rPr>
        <w:t xml:space="preserve">89.9</w:t>
      </w:r>
      <w:r>
        <w:t xml:space="preserve">.</w:t>
      </w:r>
    </w:p>
    <w:p>
      <w:pPr>
        <w:pStyle w:val="BodyText"/>
      </w:pPr>
      <w:r>
        <w:t xml:space="preserve">That is still excellent—but it provides a more realistic starting point than the headline 87.3.</w:t>
      </w:r>
    </w:p>
    <w:p>
      <w:r>
        <w:pict>
          <v:rect style="width:0;height:1.5pt" o:hralign="center" o:hrstd="t" o:hr="t"/>
        </w:pict>
      </w:r>
    </w:p>
    <w:bookmarkEnd w:id="10"/>
    <w:bookmarkStart w:id="12" w:name="Xb5c0465d2b7af8958e1c9cef75640240a952051"/>
    <w:p>
      <w:pPr>
        <w:pStyle w:val="Heading2"/>
      </w:pPr>
      <w:r>
        <w:t xml:space="preserve">1. How much margin is Progressive prepared to reinvest?</w:t>
      </w:r>
    </w:p>
    <w:p>
      <w:pPr>
        <w:pStyle w:val="FirstParagraph"/>
      </w:pPr>
      <w:r>
        <w:t xml:space="preserve">Progressive’s underwriting margin remains far above its long-term goal of at least 4%, giving management substantial capacity to reduce prices, increase marketing and pursue market share.</w:t>
      </w:r>
    </w:p>
    <w:p>
      <w:pPr>
        <w:pStyle w:val="BodyText"/>
      </w:pPr>
      <w:r>
        <w:t xml:space="preserve">That reinvestment is already visible:</w:t>
      </w:r>
    </w:p>
    <w:p>
      <w:pPr>
        <w:pStyle w:val="Compact"/>
        <w:numPr>
          <w:ilvl w:val="0"/>
          <w:numId w:val="1002"/>
        </w:numPr>
      </w:pPr>
      <w:r>
        <w:t xml:space="preserve">Q2 advertising expense reached</w:t>
      </w:r>
      <w:r>
        <w:t xml:space="preserve"> </w:t>
      </w:r>
      <w:r>
        <w:rPr>
          <w:b/>
          <w:bCs/>
        </w:rPr>
        <w:t xml:space="preserve">$1.4 billion</w:t>
      </w:r>
      <w:r>
        <w:t xml:space="preserve">, up</w:t>
      </w:r>
      <w:r>
        <w:t xml:space="preserve"> </w:t>
      </w:r>
      <w:r>
        <w:rPr>
          <w:b/>
          <w:bCs/>
        </w:rPr>
        <w:t xml:space="preserve">16%</w:t>
      </w:r>
      <w:r>
        <w:t xml:space="preserve">.</w:t>
      </w:r>
    </w:p>
    <w:p>
      <w:pPr>
        <w:pStyle w:val="Compact"/>
        <w:numPr>
          <w:ilvl w:val="0"/>
          <w:numId w:val="1002"/>
        </w:numPr>
      </w:pPr>
      <w:r>
        <w:t xml:space="preserve">Higher advertising added approximately</w:t>
      </w:r>
      <w:r>
        <w:t xml:space="preserve"> </w:t>
      </w:r>
      <w:r>
        <w:rPr>
          <w:b/>
          <w:bCs/>
        </w:rPr>
        <w:t xml:space="preserve">0.5 point</w:t>
      </w:r>
      <w:r>
        <w:t xml:space="preserve"> </w:t>
      </w:r>
      <w:r>
        <w:t xml:space="preserve">to the combined ratio.</w:t>
      </w:r>
    </w:p>
    <w:p>
      <w:pPr>
        <w:pStyle w:val="Compact"/>
        <w:numPr>
          <w:ilvl w:val="0"/>
          <w:numId w:val="1002"/>
        </w:numPr>
      </w:pPr>
      <w:r>
        <w:t xml:space="preserve">Countrywide personal-auto rates decreased by less than 1% during the quarter.</w:t>
      </w:r>
    </w:p>
    <w:p>
      <w:pPr>
        <w:pStyle w:val="Compact"/>
        <w:numPr>
          <w:ilvl w:val="0"/>
          <w:numId w:val="1002"/>
        </w:numPr>
      </w:pPr>
      <w:r>
        <w:t xml:space="preserve">Management believes personal auto, property and core commercial auto are adequately priced in most states through the remainder of 2026.</w:t>
      </w:r>
    </w:p>
    <w:p>
      <w:pPr>
        <w:pStyle w:val="Compact"/>
        <w:numPr>
          <w:ilvl w:val="0"/>
          <w:numId w:val="1002"/>
        </w:numPr>
      </w:pPr>
      <w:r>
        <w:t xml:space="preserve">Personal-auto new applications increased only</w:t>
      </w:r>
      <w:r>
        <w:t xml:space="preserve"> </w:t>
      </w:r>
      <w:r>
        <w:rPr>
          <w:b/>
          <w:bCs/>
        </w:rPr>
        <w:t xml:space="preserve">1%</w:t>
      </w:r>
      <w:r>
        <w:t xml:space="preserve">, while renewal applications rose</w:t>
      </w:r>
      <w:r>
        <w:t xml:space="preserve"> </w:t>
      </w:r>
      <w:r>
        <w:rPr>
          <w:b/>
          <w:bCs/>
        </w:rPr>
        <w:t xml:space="preserve">11%</w:t>
      </w:r>
      <w:r>
        <w:t xml:space="preserve">.</w:t>
      </w:r>
    </w:p>
    <w:p>
      <w:pPr>
        <w:pStyle w:val="FirstParagraph"/>
      </w:pPr>
      <w:r>
        <w:t xml:space="preserve">Management previously said it would grow as rapidly as possible while maintaining a combined ratio at or below 96. Given Q2’s roughly 90 accident-year result, there remains considerable room to invest.</w:t>
      </w:r>
    </w:p>
    <w:bookmarkStart w:id="11" w:name="what-investors-need-to-hear"/>
    <w:p>
      <w:pPr>
        <w:pStyle w:val="Heading3"/>
      </w:pPr>
      <w:r>
        <w:t xml:space="preserve">What investors need to hear</w:t>
      </w:r>
    </w:p>
    <w:p>
      <w:pPr>
        <w:pStyle w:val="FirstParagraph"/>
      </w:pPr>
      <w:r>
        <w:t xml:space="preserve">The crucial distinction is between:</w:t>
      </w:r>
    </w:p>
    <w:p>
      <w:pPr>
        <w:pStyle w:val="Compact"/>
        <w:numPr>
          <w:ilvl w:val="0"/>
          <w:numId w:val="1003"/>
        </w:numPr>
      </w:pPr>
      <w:r>
        <w:rPr>
          <w:b/>
          <w:bCs/>
        </w:rPr>
        <w:t xml:space="preserve">Intentional margin normalization</w:t>
      </w:r>
      <w:r>
        <w:t xml:space="preserve">, caused by efficient advertising and targeted rate reductions; and</w:t>
      </w:r>
    </w:p>
    <w:p>
      <w:pPr>
        <w:pStyle w:val="Compact"/>
        <w:numPr>
          <w:ilvl w:val="0"/>
          <w:numId w:val="1003"/>
        </w:numPr>
      </w:pPr>
      <w:r>
        <w:rPr>
          <w:b/>
          <w:bCs/>
        </w:rPr>
        <w:t xml:space="preserve">Unplanned deterioration</w:t>
      </w:r>
      <w:r>
        <w:t xml:space="preserve">, caused by worsening severity, adverse selection or competitive pricing pressure.</w:t>
      </w:r>
    </w:p>
    <w:p>
      <w:pPr>
        <w:pStyle w:val="FirstParagraph"/>
      </w:pPr>
      <w:r>
        <w:t xml:space="preserve">A favorable message would be that customer-acquisition costs remain below target and that Progressive continues to see high-lifetime-value business behind the increased spending. A less favorable message would be that acquisition efficiency is tightening materially while retention and organic demand continue to weaken.</w:t>
      </w:r>
    </w:p>
    <w:p>
      <w:r>
        <w:pict>
          <v:rect style="width:0;height:1.5pt" o:hralign="center" o:hrstd="t" o:hr="t"/>
        </w:pict>
      </w:r>
    </w:p>
    <w:bookmarkEnd w:id="11"/>
    <w:bookmarkEnd w:id="12"/>
    <w:bookmarkStart w:id="14" w:name="X5f498e041c61a7d05e20b21c00ef603c1b1fa7b"/>
    <w:p>
      <w:pPr>
        <w:pStyle w:val="Heading2"/>
      </w:pPr>
      <w:r>
        <w:t xml:space="preserve">2. Retention is the clearest weak spot</w:t>
      </w:r>
    </w:p>
    <w:p>
      <w:pPr>
        <w:pStyle w:val="FirstParagraph"/>
      </w:pPr>
      <w:r>
        <w:t xml:space="preserve">Personal-auto policy growth remains strong, but retention indicators deteriorated:</w:t>
      </w:r>
    </w:p>
    <w:p>
      <w:pPr>
        <w:pStyle w:val="Compact"/>
        <w:numPr>
          <w:ilvl w:val="0"/>
          <w:numId w:val="1004"/>
        </w:numPr>
      </w:pPr>
      <w:r>
        <w:t xml:space="preserve">Total personal-auto trailing 12-month policy life expectancy fell</w:t>
      </w:r>
      <w:r>
        <w:t xml:space="preserve"> </w:t>
      </w:r>
      <w:r>
        <w:rPr>
          <w:b/>
          <w:bCs/>
        </w:rPr>
        <w:t xml:space="preserve">8%</w:t>
      </w:r>
      <w:r>
        <w:t xml:space="preserve"> </w:t>
      </w:r>
      <w:r>
        <w:t xml:space="preserve">year over year.</w:t>
      </w:r>
    </w:p>
    <w:p>
      <w:pPr>
        <w:pStyle w:val="Compact"/>
        <w:numPr>
          <w:ilvl w:val="0"/>
          <w:numId w:val="1004"/>
        </w:numPr>
      </w:pPr>
      <w:r>
        <w:t xml:space="preserve">The trailing three-month measure declined</w:t>
      </w:r>
      <w:r>
        <w:t xml:space="preserve"> </w:t>
      </w:r>
      <w:r>
        <w:rPr>
          <w:b/>
          <w:bCs/>
        </w:rPr>
        <w:t xml:space="preserve">9%</w:t>
      </w:r>
      <w:r>
        <w:t xml:space="preserve">.</w:t>
      </w:r>
    </w:p>
    <w:p>
      <w:pPr>
        <w:pStyle w:val="Compact"/>
        <w:numPr>
          <w:ilvl w:val="0"/>
          <w:numId w:val="1004"/>
        </w:numPr>
      </w:pPr>
      <w:r>
        <w:t xml:space="preserve">Agency auto trailing 12-month policy life expectancy declined</w:t>
      </w:r>
      <w:r>
        <w:t xml:space="preserve"> </w:t>
      </w:r>
      <w:r>
        <w:rPr>
          <w:b/>
          <w:bCs/>
        </w:rPr>
        <w:t xml:space="preserve">6%</w:t>
      </w:r>
      <w:r>
        <w:t xml:space="preserve">.</w:t>
      </w:r>
    </w:p>
    <w:p>
      <w:pPr>
        <w:pStyle w:val="Compact"/>
        <w:numPr>
          <w:ilvl w:val="0"/>
          <w:numId w:val="1004"/>
        </w:numPr>
      </w:pPr>
      <w:r>
        <w:t xml:space="preserve">Direct auto trailing 12-month policy life expectancy declined</w:t>
      </w:r>
      <w:r>
        <w:t xml:space="preserve"> </w:t>
      </w:r>
      <w:r>
        <w:rPr>
          <w:b/>
          <w:bCs/>
        </w:rPr>
        <w:t xml:space="preserve">9%</w:t>
      </w:r>
      <w:r>
        <w:t xml:space="preserve">.</w:t>
      </w:r>
    </w:p>
    <w:p>
      <w:pPr>
        <w:pStyle w:val="Compact"/>
        <w:numPr>
          <w:ilvl w:val="0"/>
          <w:numId w:val="1004"/>
        </w:numPr>
      </w:pPr>
      <w:r>
        <w:t xml:space="preserve">Property policy life expectancy also declined</w:t>
      </w:r>
      <w:r>
        <w:t xml:space="preserve"> </w:t>
      </w:r>
      <w:r>
        <w:rPr>
          <w:b/>
          <w:bCs/>
        </w:rPr>
        <w:t xml:space="preserve">8%</w:t>
      </w:r>
      <w:r>
        <w:t xml:space="preserve">.</w:t>
      </w:r>
    </w:p>
    <w:p>
      <w:pPr>
        <w:pStyle w:val="FirstParagraph"/>
      </w:pPr>
      <w:r>
        <w:t xml:space="preserve">Management attributes this mainly to elevated consumer shopping and competition, with additional effects from billing-plan changes and business mix.</w:t>
      </w:r>
    </w:p>
    <w:p>
      <w:pPr>
        <w:pStyle w:val="BodyText"/>
      </w:pPr>
      <w:r>
        <w:t xml:space="preserve">This does not immediately threaten growth because Progressive is acquiring substantial volumes of new customers. However, weaker retention reduces customer lifetime value and raises the amount of advertising required to sustain a given level of policy growth.</w:t>
      </w:r>
    </w:p>
    <w:bookmarkStart w:id="13" w:name="key-question"/>
    <w:p>
      <w:pPr>
        <w:pStyle w:val="Heading3"/>
      </w:pPr>
      <w:r>
        <w:t xml:space="preserve">Key question</w:t>
      </w:r>
    </w:p>
    <w:p>
      <w:pPr>
        <w:pStyle w:val="FirstParagraph"/>
      </w:pPr>
      <w:r>
        <w:t xml:space="preserve">Can conversion gains and marketing-driven acquisition continue to offset weaker retention economically—or is Progressive increasingly replacing customers rather than compounding its customer base?</w:t>
      </w:r>
    </w:p>
    <w:p>
      <w:pPr>
        <w:pStyle w:val="BodyText"/>
      </w:pPr>
      <w:r>
        <w:t xml:space="preserve">Management’s commentary on newer cohorts will matter. Investors should listen for whether recently acquired policies are retaining as expected after controlling for changes in customer mix.</w:t>
      </w:r>
    </w:p>
    <w:p>
      <w:r>
        <w:pict>
          <v:rect style="width:0;height:1.5pt" o:hralign="center" o:hrstd="t" o:hr="t"/>
        </w:pict>
      </w:r>
    </w:p>
    <w:bookmarkEnd w:id="13"/>
    <w:bookmarkEnd w:id="14"/>
    <w:bookmarkStart w:id="16" w:name="X9b9e4ae93c65e7d9ea6c9cc346a7e86ed35723e"/>
    <w:p>
      <w:pPr>
        <w:pStyle w:val="Heading2"/>
      </w:pPr>
      <w:r>
        <w:t xml:space="preserve">3. Loss trends remain manageable, but bodily injury bears watching</w:t>
      </w:r>
    </w:p>
    <w:p>
      <w:pPr>
        <w:pStyle w:val="FirstParagraph"/>
      </w:pPr>
      <w:r>
        <w:t xml:space="preserve">Personal-auto loss trends were mixed: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Personal-auto trend</w:t>
            </w:r>
          </w:p>
        </w:tc>
        <w:tc>
          <w:tcPr/>
          <w:p>
            <w:pPr>
              <w:pStyle w:val="Compact"/>
              <w:jc w:val="right"/>
            </w:pPr>
            <w:r>
              <w:t xml:space="preserve">Q2 YoY</w:t>
            </w:r>
          </w:p>
        </w:tc>
      </w:tr>
      <w:tr>
        <w:tc>
          <w:tcPr/>
          <w:p>
            <w:pPr>
              <w:pStyle w:val="Compact"/>
            </w:pPr>
            <w:r>
              <w:t xml:space="preserve">Total severity</w:t>
            </w:r>
          </w:p>
        </w:tc>
        <w:tc>
          <w:tcPr/>
          <w:p>
            <w:pPr>
              <w:pStyle w:val="Compact"/>
              <w:jc w:val="right"/>
            </w:pPr>
            <w:r>
              <w:rPr>
                <w:b/>
                <w:bCs/>
              </w:rPr>
              <w:t xml:space="preserve">+4%</w:t>
            </w:r>
          </w:p>
        </w:tc>
      </w:tr>
      <w:tr>
        <w:tc>
          <w:tcPr/>
          <w:p>
            <w:pPr>
              <w:pStyle w:val="Compact"/>
            </w:pPr>
            <w:r>
              <w:t xml:space="preserve">Bodily-injury severity</w:t>
            </w:r>
          </w:p>
        </w:tc>
        <w:tc>
          <w:tcPr/>
          <w:p>
            <w:pPr>
              <w:pStyle w:val="Compact"/>
              <w:jc w:val="right"/>
            </w:pPr>
            <w:r>
              <w:rPr>
                <w:b/>
                <w:bCs/>
              </w:rPr>
              <w:t xml:space="preserve">+7%</w:t>
            </w:r>
          </w:p>
        </w:tc>
      </w:tr>
      <w:tr>
        <w:tc>
          <w:tcPr/>
          <w:p>
            <w:pPr>
              <w:pStyle w:val="Compact"/>
            </w:pPr>
            <w:r>
              <w:t xml:space="preserve">Property-damage severity</w:t>
            </w:r>
          </w:p>
        </w:tc>
        <w:tc>
          <w:tcPr/>
          <w:p>
            <w:pPr>
              <w:pStyle w:val="Compact"/>
              <w:jc w:val="right"/>
            </w:pPr>
            <w:r>
              <w:rPr>
                <w:b/>
                <w:bCs/>
              </w:rPr>
              <w:t xml:space="preserve">+3%</w:t>
            </w:r>
          </w:p>
        </w:tc>
      </w:tr>
      <w:tr>
        <w:tc>
          <w:tcPr/>
          <w:p>
            <w:pPr>
              <w:pStyle w:val="Compact"/>
            </w:pPr>
            <w:r>
              <w:t xml:space="preserve">Collision severity</w:t>
            </w:r>
          </w:p>
        </w:tc>
        <w:tc>
          <w:tcPr/>
          <w:p>
            <w:pPr>
              <w:pStyle w:val="Compact"/>
              <w:jc w:val="right"/>
            </w:pPr>
            <w:r>
              <w:rPr>
                <w:b/>
                <w:bCs/>
              </w:rPr>
              <w:t xml:space="preserve">+1%</w:t>
            </w:r>
          </w:p>
        </w:tc>
      </w:tr>
      <w:tr>
        <w:tc>
          <w:tcPr/>
          <w:p>
            <w:pPr>
              <w:pStyle w:val="Compact"/>
            </w:pPr>
            <w:r>
              <w:t xml:space="preserve">Total frequency</w:t>
            </w:r>
          </w:p>
        </w:tc>
        <w:tc>
          <w:tcPr/>
          <w:p>
            <w:pPr>
              <w:pStyle w:val="Compact"/>
              <w:jc w:val="right"/>
            </w:pPr>
            <w:r>
              <w:rPr>
                <w:b/>
                <w:bCs/>
              </w:rPr>
              <w:t xml:space="preserve">-2%</w:t>
            </w:r>
          </w:p>
        </w:tc>
      </w:tr>
      <w:tr>
        <w:tc>
          <w:tcPr/>
          <w:p>
            <w:pPr>
              <w:pStyle w:val="Compact"/>
            </w:pPr>
            <w:r>
              <w:t xml:space="preserve">Bodily-injury frequency</w:t>
            </w:r>
          </w:p>
        </w:tc>
        <w:tc>
          <w:tcPr/>
          <w:p>
            <w:pPr>
              <w:pStyle w:val="Compact"/>
              <w:jc w:val="right"/>
            </w:pPr>
            <w:r>
              <w:rPr>
                <w:b/>
                <w:bCs/>
              </w:rPr>
              <w:t xml:space="preserve">-2%</w:t>
            </w:r>
          </w:p>
        </w:tc>
      </w:tr>
      <w:tr>
        <w:tc>
          <w:tcPr/>
          <w:p>
            <w:pPr>
              <w:pStyle w:val="Compact"/>
            </w:pPr>
            <w:r>
              <w:t xml:space="preserve">Collision frequency</w:t>
            </w:r>
          </w:p>
        </w:tc>
        <w:tc>
          <w:tcPr/>
          <w:p>
            <w:pPr>
              <w:pStyle w:val="Compact"/>
              <w:jc w:val="right"/>
            </w:pPr>
            <w:r>
              <w:rPr>
                <w:b/>
                <w:bCs/>
              </w:rPr>
              <w:t xml:space="preserve">-3%</w:t>
            </w:r>
          </w:p>
        </w:tc>
      </w:tr>
    </w:tbl>
    <w:p>
      <w:pPr>
        <w:pStyle w:val="BodyText"/>
      </w:pPr>
      <w:r>
        <w:t xml:space="preserve">Lower frequency continues to offset severity, but bodily injury is the principal concern. Progressive cited:</w:t>
      </w:r>
    </w:p>
    <w:p>
      <w:pPr>
        <w:pStyle w:val="Compact"/>
        <w:numPr>
          <w:ilvl w:val="0"/>
          <w:numId w:val="1005"/>
        </w:numPr>
      </w:pPr>
      <w:r>
        <w:t xml:space="preserve">Higher medical costs;</w:t>
      </w:r>
    </w:p>
    <w:p>
      <w:pPr>
        <w:pStyle w:val="Compact"/>
        <w:numPr>
          <w:ilvl w:val="0"/>
          <w:numId w:val="1005"/>
        </w:numPr>
      </w:pPr>
      <w:r>
        <w:t xml:space="preserve">More large losses; and</w:t>
      </w:r>
    </w:p>
    <w:p>
      <w:pPr>
        <w:pStyle w:val="Compact"/>
        <w:numPr>
          <w:ilvl w:val="0"/>
          <w:numId w:val="1005"/>
        </w:numPr>
      </w:pPr>
      <w:r>
        <w:t xml:space="preserve">A greater proportion of attorney-represented claims.</w:t>
      </w:r>
    </w:p>
    <w:p>
      <w:pPr>
        <w:pStyle w:val="FirstParagraph"/>
      </w:pPr>
      <w:r>
        <w:t xml:space="preserve">Core commercial auto showed a similar offset: trailing 12-month severity increased</w:t>
      </w:r>
      <w:r>
        <w:t xml:space="preserve"> </w:t>
      </w:r>
      <w:r>
        <w:rPr>
          <w:b/>
          <w:bCs/>
        </w:rPr>
        <w:t xml:space="preserve">5%</w:t>
      </w:r>
      <w:r>
        <w:t xml:space="preserve">, while frequency declined</w:t>
      </w:r>
      <w:r>
        <w:t xml:space="preserve"> </w:t>
      </w:r>
      <w:r>
        <w:rPr>
          <w:b/>
          <w:bCs/>
        </w:rPr>
        <w:t xml:space="preserve">8%</w:t>
      </w:r>
      <w:r>
        <w:t xml:space="preserve">.</w:t>
      </w:r>
    </w:p>
    <w:p>
      <w:pPr>
        <w:pStyle w:val="BodyText"/>
      </w:pPr>
      <w:r>
        <w:t xml:space="preserve">The quarter’s favorable reserve development was partly attributable to lower-than-anticipated bodily-injury severity in prior periods. Investors should not automatically assume that favorable development will continue at the same magnitude, particularly while current-period bodily-injury severity is running at 7%.</w:t>
      </w:r>
    </w:p>
    <w:bookmarkStart w:id="15" w:name="what-would-be-reassuring"/>
    <w:p>
      <w:pPr>
        <w:pStyle w:val="Heading3"/>
      </w:pPr>
      <w:r>
        <w:t xml:space="preserve">What would be reassuring</w:t>
      </w:r>
    </w:p>
    <w:p>
      <w:pPr>
        <w:pStyle w:val="Compact"/>
        <w:numPr>
          <w:ilvl w:val="0"/>
          <w:numId w:val="1006"/>
        </w:numPr>
      </w:pPr>
      <w:r>
        <w:t xml:space="preserve">Stability in recent bodily-injury severity;</w:t>
      </w:r>
    </w:p>
    <w:p>
      <w:pPr>
        <w:pStyle w:val="Compact"/>
        <w:numPr>
          <w:ilvl w:val="0"/>
          <w:numId w:val="1006"/>
        </w:numPr>
      </w:pPr>
      <w:r>
        <w:t xml:space="preserve">Evidence that current rates fully reflect social and medical inflation;</w:t>
      </w:r>
    </w:p>
    <w:p>
      <w:pPr>
        <w:pStyle w:val="Compact"/>
        <w:numPr>
          <w:ilvl w:val="0"/>
          <w:numId w:val="1006"/>
        </w:numPr>
      </w:pPr>
      <w:r>
        <w:t xml:space="preserve">Continued low or negative frequency;</w:t>
      </w:r>
    </w:p>
    <w:p>
      <w:pPr>
        <w:pStyle w:val="Compact"/>
        <w:numPr>
          <w:ilvl w:val="0"/>
          <w:numId w:val="1006"/>
        </w:numPr>
      </w:pPr>
      <w:r>
        <w:t xml:space="preserve">No sign that targeted rate decreases are attracting materially worse risks.</w:t>
      </w:r>
    </w:p>
    <w:p>
      <w:r>
        <w:pict>
          <v:rect style="width:0;height:1.5pt" o:hralign="center" o:hrstd="t" o:hr="t"/>
        </w:pict>
      </w:r>
    </w:p>
    <w:bookmarkEnd w:id="15"/>
    <w:bookmarkEnd w:id="16"/>
    <w:bookmarkStart w:id="18" w:name="X9bf1f74d0fb4efa37a9509674356072958e4e36"/>
    <w:p>
      <w:pPr>
        <w:pStyle w:val="Heading2"/>
      </w:pPr>
      <w:r>
        <w:t xml:space="preserve">4. The Robinsons presentation is the strategic centerpiece</w:t>
      </w:r>
    </w:p>
    <w:p>
      <w:pPr>
        <w:pStyle w:val="FirstParagraph"/>
      </w:pPr>
      <w:r>
        <w:t xml:space="preserve">The first approximately 45 minutes of the call are expected to focus on</w:t>
      </w:r>
      <w:r>
        <w:t xml:space="preserve"> </w:t>
      </w:r>
      <w:r>
        <w:rPr>
          <w:b/>
          <w:bCs/>
        </w:rPr>
        <w:t xml:space="preserve">Robinsons</w:t>
      </w:r>
      <w:r>
        <w:t xml:space="preserve">—Progressive’s term for homeowners who bundle auto and home.</w:t>
      </w:r>
    </w:p>
    <w:p>
      <w:pPr>
        <w:pStyle w:val="BodyText"/>
      </w:pPr>
      <w:r>
        <w:t xml:space="preserve">This is strategically important because Progressive’s historic strength has been in less bundled auto customers. Management has described Robinsons as a potential</w:t>
      </w:r>
      <w:r>
        <w:t xml:space="preserve"> </w:t>
      </w:r>
      <m:oMath>
        <m:r>
          <m:t>40</m:t>
        </m:r>
        <m:r>
          <m:rPr>
            <m:sty m:val="p"/>
          </m:rPr>
          <m:t>–</m:t>
        </m:r>
      </m:oMath>
      <w:r>
        <w:rPr>
          <w:b/>
          <w:bCs/>
        </w:rPr>
        <w:t xml:space="preserve">50 billion top-line opportunity</w:t>
      </w:r>
      <w:r>
        <w:t xml:space="preserve">, but Progressive remains underpenetrated in this segment.</w:t>
      </w:r>
    </w:p>
    <w:p>
      <w:pPr>
        <w:pStyle w:val="BodyText"/>
      </w:pPr>
      <w:r>
        <w:t xml:space="preserve">Current results show progress, but also the challenge:</w:t>
      </w:r>
    </w:p>
    <w:p>
      <w:pPr>
        <w:pStyle w:val="Compact"/>
        <w:numPr>
          <w:ilvl w:val="0"/>
          <w:numId w:val="1007"/>
        </w:numPr>
      </w:pPr>
      <w:r>
        <w:t xml:space="preserve">Agency Robinson new applications increased moderately in Q2.</w:t>
      </w:r>
    </w:p>
    <w:p>
      <w:pPr>
        <w:pStyle w:val="Compact"/>
        <w:numPr>
          <w:ilvl w:val="0"/>
          <w:numId w:val="1007"/>
        </w:numPr>
      </w:pPr>
      <w:r>
        <w:t xml:space="preserve">Agency Robinson policies in force still declined by a single-digit percentage.</w:t>
      </w:r>
    </w:p>
    <w:p>
      <w:pPr>
        <w:pStyle w:val="Compact"/>
        <w:numPr>
          <w:ilvl w:val="0"/>
          <w:numId w:val="1007"/>
        </w:numPr>
      </w:pPr>
      <w:r>
        <w:t xml:space="preserve">Direct auto new applications declined among Wrights and Robinsons.</w:t>
      </w:r>
    </w:p>
    <w:p>
      <w:pPr>
        <w:pStyle w:val="Compact"/>
        <w:numPr>
          <w:ilvl w:val="0"/>
          <w:numId w:val="1007"/>
        </w:numPr>
      </w:pPr>
      <w:r>
        <w:t xml:space="preserve">Progressive is gradually reopening property availability and easing selected underwriting restrictions.</w:t>
      </w:r>
    </w:p>
    <w:p>
      <w:pPr>
        <w:pStyle w:val="Compact"/>
        <w:numPr>
          <w:ilvl w:val="0"/>
          <w:numId w:val="1007"/>
        </w:numPr>
      </w:pPr>
      <w:r>
        <w:t xml:space="preserve">Homeowners new applications increased</w:t>
      </w:r>
      <w:r>
        <w:t xml:space="preserve"> </w:t>
      </w:r>
      <w:r>
        <w:rPr>
          <w:b/>
          <w:bCs/>
        </w:rPr>
        <w:t xml:space="preserve">11%</w:t>
      </w:r>
      <w:r>
        <w:t xml:space="preserve">, even as total property new applications were flat.</w:t>
      </w:r>
    </w:p>
    <w:p>
      <w:pPr>
        <w:pStyle w:val="Compact"/>
        <w:numPr>
          <w:ilvl w:val="0"/>
          <w:numId w:val="1007"/>
        </w:numPr>
      </w:pPr>
      <w:r>
        <w:t xml:space="preserve">Personal-property policies in force increased only</w:t>
      </w:r>
      <w:r>
        <w:t xml:space="preserve"> </w:t>
      </w:r>
      <w:r>
        <w:rPr>
          <w:b/>
          <w:bCs/>
        </w:rPr>
        <w:t xml:space="preserve">1%</w:t>
      </w:r>
      <w:r>
        <w:t xml:space="preserve">.</w:t>
      </w:r>
    </w:p>
    <w:bookmarkStart w:id="17" w:name="questions-the-presentation-should-answer"/>
    <w:p>
      <w:pPr>
        <w:pStyle w:val="Heading3"/>
      </w:pPr>
      <w:r>
        <w:t xml:space="preserve">Questions the presentation should answer</w:t>
      </w:r>
    </w:p>
    <w:p>
      <w:pPr>
        <w:pStyle w:val="Compact"/>
        <w:numPr>
          <w:ilvl w:val="0"/>
          <w:numId w:val="1008"/>
        </w:numPr>
      </w:pPr>
      <w:r>
        <w:rPr>
          <w:b/>
          <w:bCs/>
        </w:rPr>
        <w:t xml:space="preserve">What is the current Robinson household count and mix?</w:t>
      </w:r>
    </w:p>
    <w:p>
      <w:pPr>
        <w:pStyle w:val="Compact"/>
        <w:numPr>
          <w:ilvl w:val="0"/>
          <w:numId w:val="1008"/>
        </w:numPr>
      </w:pPr>
      <w:r>
        <w:rPr>
          <w:b/>
          <w:bCs/>
        </w:rPr>
        <w:t xml:space="preserve">What prevents an auto customer from converting into a bundled household?</w:t>
      </w:r>
    </w:p>
    <w:p>
      <w:pPr>
        <w:pStyle w:val="Compact"/>
        <w:numPr>
          <w:ilvl w:val="0"/>
          <w:numId w:val="1008"/>
        </w:numPr>
      </w:pPr>
      <w:r>
        <w:rPr>
          <w:b/>
          <w:bCs/>
        </w:rPr>
        <w:t xml:space="preserve">How much of the constraint is property availability versus price, agent behavior or customer experience?</w:t>
      </w:r>
    </w:p>
    <w:p>
      <w:pPr>
        <w:pStyle w:val="Compact"/>
        <w:numPr>
          <w:ilvl w:val="0"/>
          <w:numId w:val="1008"/>
        </w:numPr>
      </w:pPr>
      <w:r>
        <w:rPr>
          <w:b/>
          <w:bCs/>
        </w:rPr>
        <w:t xml:space="preserve">How does Robinson retention and lifetime value compare with other customer segments?</w:t>
      </w:r>
    </w:p>
    <w:p>
      <w:pPr>
        <w:pStyle w:val="Compact"/>
        <w:numPr>
          <w:ilvl w:val="0"/>
          <w:numId w:val="1008"/>
        </w:numPr>
      </w:pPr>
      <w:r>
        <w:rPr>
          <w:b/>
          <w:bCs/>
        </w:rPr>
        <w:t xml:space="preserve">How much property risk is Progressive willing to assume to unlock bundled growth?</w:t>
      </w:r>
    </w:p>
    <w:p>
      <w:pPr>
        <w:pStyle w:val="Compact"/>
        <w:numPr>
          <w:ilvl w:val="0"/>
          <w:numId w:val="1008"/>
        </w:numPr>
      </w:pPr>
      <w:r>
        <w:rPr>
          <w:b/>
          <w:bCs/>
        </w:rPr>
        <w:t xml:space="preserve">When should improved homeowners availability begin to appear meaningfully in policies and premiums?</w:t>
      </w:r>
    </w:p>
    <w:p>
      <w:pPr>
        <w:pStyle w:val="FirstParagraph"/>
      </w:pPr>
      <w:r>
        <w:t xml:space="preserve">The bullish interpretation is that Progressive can apply its segmentation, data and distribution advantages to a large market where it remains structurally underrepresented. The risk is that capturing this opportunity requires accepting more catastrophe exposure, slower growth economics and more complicated customer relationships than stand-alone auto.</w:t>
      </w:r>
    </w:p>
    <w:p>
      <w:r>
        <w:pict>
          <v:rect style="width:0;height:1.5pt" o:hralign="center" o:hrstd="t" o:hr="t"/>
        </w:pict>
      </w:r>
    </w:p>
    <w:bookmarkEnd w:id="17"/>
    <w:bookmarkEnd w:id="18"/>
    <w:bookmarkStart w:id="19" w:name="Xe809327e91693924a5dfc4c586ea9ccd2ae43be"/>
    <w:p>
      <w:pPr>
        <w:pStyle w:val="Heading2"/>
      </w:pPr>
      <w:r>
        <w:t xml:space="preserve">5. Property results were excellent—but should not be extrapolated</w:t>
      </w:r>
    </w:p>
    <w:p>
      <w:pPr>
        <w:pStyle w:val="FirstParagraph"/>
      </w:pPr>
      <w:r>
        <w:t xml:space="preserve">Personal property produced a</w:t>
      </w:r>
      <w:r>
        <w:t xml:space="preserve"> </w:t>
      </w:r>
      <w:r>
        <w:rPr>
          <w:b/>
          <w:bCs/>
        </w:rPr>
        <w:t xml:space="preserve">78.0 combined ratio</w:t>
      </w:r>
      <w:r>
        <w:t xml:space="preserve"> </w:t>
      </w:r>
      <w:r>
        <w:t xml:space="preserve">and a 22% underwriting margin in Q2, helped by:</w:t>
      </w:r>
    </w:p>
    <w:p>
      <w:pPr>
        <w:pStyle w:val="Compact"/>
        <w:numPr>
          <w:ilvl w:val="0"/>
          <w:numId w:val="1009"/>
        </w:numPr>
      </w:pPr>
      <w:r>
        <w:t xml:space="preserve">Low catastrophe losses;</w:t>
      </w:r>
    </w:p>
    <w:p>
      <w:pPr>
        <w:pStyle w:val="Compact"/>
        <w:numPr>
          <w:ilvl w:val="0"/>
          <w:numId w:val="1009"/>
        </w:numPr>
      </w:pPr>
      <w:r>
        <w:t xml:space="preserve">Lower loss frequency; and</w:t>
      </w:r>
    </w:p>
    <w:p>
      <w:pPr>
        <w:pStyle w:val="Compact"/>
        <w:numPr>
          <w:ilvl w:val="0"/>
          <w:numId w:val="1009"/>
        </w:numPr>
      </w:pPr>
      <w:r>
        <w:t xml:space="preserve">Prior rate increases.</w:t>
      </w:r>
    </w:p>
    <w:p>
      <w:pPr>
        <w:pStyle w:val="FirstParagraph"/>
      </w:pPr>
      <w:r>
        <w:t xml:space="preserve">Progressive is becoming more willing to grow in selected property markets. It has reopened new business, expanded agency relationships and eased certain restrictions on older roofs, higher-value homes and unbundled homeowners policies.</w:t>
      </w:r>
    </w:p>
    <w:p>
      <w:pPr>
        <w:pStyle w:val="BodyText"/>
      </w:pPr>
      <w:r>
        <w:t xml:space="preserve">At the same time, management remains cautious:</w:t>
      </w:r>
    </w:p>
    <w:p>
      <w:pPr>
        <w:pStyle w:val="Compact"/>
        <w:numPr>
          <w:ilvl w:val="0"/>
          <w:numId w:val="1010"/>
        </w:numPr>
      </w:pPr>
      <w:r>
        <w:t xml:space="preserve">Policies in growth-oriented homeowners markets were still down</w:t>
      </w:r>
      <w:r>
        <w:t xml:space="preserve"> </w:t>
      </w:r>
      <w:r>
        <w:rPr>
          <w:b/>
          <w:bCs/>
        </w:rPr>
        <w:t xml:space="preserve">2%</w:t>
      </w:r>
      <w:r>
        <w:t xml:space="preserve">.</w:t>
      </w:r>
    </w:p>
    <w:p>
      <w:pPr>
        <w:pStyle w:val="Compact"/>
        <w:numPr>
          <w:ilvl w:val="0"/>
          <w:numId w:val="1010"/>
        </w:numPr>
      </w:pPr>
      <w:r>
        <w:t xml:space="preserve">Policies in volatile-weather markets fell</w:t>
      </w:r>
      <w:r>
        <w:t xml:space="preserve"> </w:t>
      </w:r>
      <w:r>
        <w:rPr>
          <w:b/>
          <w:bCs/>
        </w:rPr>
        <w:t xml:space="preserve">17%</w:t>
      </w:r>
      <w:r>
        <w:t xml:space="preserve">.</w:t>
      </w:r>
    </w:p>
    <w:p>
      <w:pPr>
        <w:pStyle w:val="Compact"/>
        <w:numPr>
          <w:ilvl w:val="0"/>
          <w:numId w:val="1010"/>
        </w:numPr>
      </w:pPr>
      <w:r>
        <w:t xml:space="preserve">The overall property book increasingly includes lower-premium renters policies.</w:t>
      </w:r>
    </w:p>
    <w:p>
      <w:pPr>
        <w:pStyle w:val="Compact"/>
        <w:numPr>
          <w:ilvl w:val="0"/>
          <w:numId w:val="1010"/>
        </w:numPr>
      </w:pPr>
      <w:r>
        <w:t xml:space="preserve">Q2 property premium growth was only</w:t>
      </w:r>
      <w:r>
        <w:t xml:space="preserve"> </w:t>
      </w:r>
      <w:r>
        <w:rPr>
          <w:b/>
          <w:bCs/>
        </w:rPr>
        <w:t xml:space="preserve">1%</w:t>
      </w:r>
      <w:r>
        <w:t xml:space="preserve">.</w:t>
      </w:r>
    </w:p>
    <w:p>
      <w:pPr>
        <w:pStyle w:val="FirstParagraph"/>
      </w:pPr>
      <w:r>
        <w:t xml:space="preserve">June’s property ratio also included an</w:t>
      </w:r>
      <w:r>
        <w:t xml:space="preserve"> </w:t>
      </w:r>
      <w:r>
        <w:rPr>
          <w:b/>
          <w:bCs/>
        </w:rPr>
        <w:t xml:space="preserve">11.7-point favorable impact</w:t>
      </w:r>
      <w:r>
        <w:t xml:space="preserve"> </w:t>
      </w:r>
      <w:r>
        <w:t xml:space="preserve">from a one-time actuarial-methodology change. That adjustment will not recur and should not be treated as an improvement in underlying economics.</w:t>
      </w:r>
    </w:p>
    <w:p>
      <w:pPr>
        <w:pStyle w:val="BodyText"/>
      </w:pPr>
      <w:r>
        <w:t xml:space="preserve">The call should clarify how management plans to expand property without materially changing Progressive’s catastrophe-risk profile.</w:t>
      </w:r>
    </w:p>
    <w:p>
      <w:r>
        <w:pict>
          <v:rect style="width:0;height:1.5pt" o:hralign="center" o:hrstd="t" o:hr="t"/>
        </w:pict>
      </w:r>
    </w:p>
    <w:bookmarkEnd w:id="19"/>
    <w:bookmarkStart w:id="20" w:name="X698084ec2f388cc464c7b51cebf668561904b4d"/>
    <w:p>
      <w:pPr>
        <w:pStyle w:val="Heading2"/>
      </w:pPr>
      <w:r>
        <w:t xml:space="preserve">6. Direct auto remains the principal growth engine</w:t>
      </w:r>
    </w:p>
    <w:p>
      <w:pPr>
        <w:pStyle w:val="FirstParagraph"/>
      </w:pPr>
      <w:r>
        <w:t xml:space="preserve">Q2 personal-auto written-premium growth was sharply different by channel:</w:t>
      </w:r>
    </w:p>
    <w:p>
      <w:pPr>
        <w:pStyle w:val="Compact"/>
        <w:numPr>
          <w:ilvl w:val="0"/>
          <w:numId w:val="1011"/>
        </w:numPr>
      </w:pPr>
      <w:r>
        <w:rPr>
          <w:b/>
          <w:bCs/>
        </w:rPr>
        <w:t xml:space="preserve">Direct: +8%</w:t>
      </w:r>
    </w:p>
    <w:p>
      <w:pPr>
        <w:pStyle w:val="Compact"/>
        <w:numPr>
          <w:ilvl w:val="0"/>
          <w:numId w:val="1011"/>
        </w:numPr>
      </w:pPr>
      <w:r>
        <w:rPr>
          <w:b/>
          <w:bCs/>
        </w:rPr>
        <w:t xml:space="preserve">Agency: +2%</w:t>
      </w:r>
    </w:p>
    <w:p>
      <w:pPr>
        <w:pStyle w:val="FirstParagraph"/>
      </w:pPr>
      <w:r>
        <w:t xml:space="preserve">Direct auto policies in force increased</w:t>
      </w:r>
      <w:r>
        <w:t xml:space="preserve"> </w:t>
      </w:r>
      <w:r>
        <w:rPr>
          <w:b/>
          <w:bCs/>
        </w:rPr>
        <w:t xml:space="preserve">10%</w:t>
      </w:r>
      <w:r>
        <w:t xml:space="preserve">, compared with</w:t>
      </w:r>
      <w:r>
        <w:t xml:space="preserve"> </w:t>
      </w:r>
      <w:r>
        <w:rPr>
          <w:b/>
          <w:bCs/>
        </w:rPr>
        <w:t xml:space="preserve">8%</w:t>
      </w:r>
      <w:r>
        <w:t xml:space="preserve"> </w:t>
      </w:r>
      <w:r>
        <w:t xml:space="preserve">in agency. Direct conversion improved despite a 7% decline in quote volume, indicating that Progressive remains price-competitive with shoppers who enter its funnel.</w:t>
      </w:r>
    </w:p>
    <w:p>
      <w:pPr>
        <w:pStyle w:val="BodyText"/>
      </w:pPr>
      <w:r>
        <w:t xml:space="preserve">However, direct also recorded the larger retention decline and carries a higher expense ratio:</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Q2 personal-auto channel</w:t>
            </w:r>
          </w:p>
        </w:tc>
        <w:tc>
          <w:tcPr/>
          <w:p>
            <w:pPr>
              <w:pStyle w:val="Compact"/>
              <w:jc w:val="right"/>
            </w:pPr>
            <w:r>
              <w:t xml:space="preserve">Combined ratio</w:t>
            </w:r>
          </w:p>
        </w:tc>
        <w:tc>
          <w:tcPr/>
          <w:p>
            <w:pPr>
              <w:pStyle w:val="Compact"/>
              <w:jc w:val="right"/>
            </w:pPr>
            <w:r>
              <w:t xml:space="preserve">NPW growth</w:t>
            </w:r>
          </w:p>
        </w:tc>
        <w:tc>
          <w:tcPr/>
          <w:p>
            <w:pPr>
              <w:pStyle w:val="Compact"/>
              <w:jc w:val="right"/>
            </w:pPr>
            <w:r>
              <w:t xml:space="preserve">PIF growth</w:t>
            </w:r>
          </w:p>
        </w:tc>
      </w:tr>
      <w:tr>
        <w:tc>
          <w:tcPr/>
          <w:p>
            <w:pPr>
              <w:pStyle w:val="Compact"/>
            </w:pPr>
            <w:r>
              <w:t xml:space="preserve">Agency</w:t>
            </w:r>
          </w:p>
        </w:tc>
        <w:tc>
          <w:tcPr/>
          <w:p>
            <w:pPr>
              <w:pStyle w:val="Compact"/>
              <w:jc w:val="right"/>
            </w:pPr>
            <w:r>
              <w:rPr>
                <w:b/>
                <w:bCs/>
              </w:rPr>
              <w:t xml:space="preserve">86.4</w:t>
            </w:r>
          </w:p>
        </w:tc>
        <w:tc>
          <w:tcPr/>
          <w:p>
            <w:pPr>
              <w:pStyle w:val="Compact"/>
              <w:jc w:val="right"/>
            </w:pPr>
            <w:r>
              <w:rPr>
                <w:b/>
                <w:bCs/>
              </w:rPr>
              <w:t xml:space="preserve">+2%</w:t>
            </w:r>
          </w:p>
        </w:tc>
        <w:tc>
          <w:tcPr/>
          <w:p>
            <w:pPr>
              <w:pStyle w:val="Compact"/>
              <w:jc w:val="right"/>
            </w:pPr>
            <w:r>
              <w:rPr>
                <w:b/>
                <w:bCs/>
              </w:rPr>
              <w:t xml:space="preserve">+8%</w:t>
            </w:r>
          </w:p>
        </w:tc>
      </w:tr>
      <w:tr>
        <w:tc>
          <w:tcPr/>
          <w:p>
            <w:pPr>
              <w:pStyle w:val="Compact"/>
            </w:pPr>
            <w:r>
              <w:t xml:space="preserve">Direct</w:t>
            </w:r>
          </w:p>
        </w:tc>
        <w:tc>
          <w:tcPr/>
          <w:p>
            <w:pPr>
              <w:pStyle w:val="Compact"/>
              <w:jc w:val="right"/>
            </w:pPr>
            <w:r>
              <w:rPr>
                <w:b/>
                <w:bCs/>
              </w:rPr>
              <w:t xml:space="preserve">89.2</w:t>
            </w:r>
          </w:p>
        </w:tc>
        <w:tc>
          <w:tcPr/>
          <w:p>
            <w:pPr>
              <w:pStyle w:val="Compact"/>
              <w:jc w:val="right"/>
            </w:pPr>
            <w:r>
              <w:rPr>
                <w:b/>
                <w:bCs/>
              </w:rPr>
              <w:t xml:space="preserve">+8%</w:t>
            </w:r>
          </w:p>
        </w:tc>
        <w:tc>
          <w:tcPr/>
          <w:p>
            <w:pPr>
              <w:pStyle w:val="Compact"/>
              <w:jc w:val="right"/>
            </w:pPr>
            <w:r>
              <w:rPr>
                <w:b/>
                <w:bCs/>
              </w:rPr>
              <w:t xml:space="preserve">+10%</w:t>
            </w:r>
          </w:p>
        </w:tc>
      </w:tr>
    </w:tbl>
    <w:p>
      <w:pPr>
        <w:pStyle w:val="BodyText"/>
      </w:pPr>
      <w:r>
        <w:t xml:space="preserve">The spread is not inherently concerning—direct includes more advertising expense—but investors should monitor whether the incremental growth is generating adequate lifetime returns.</w:t>
      </w:r>
    </w:p>
    <w:p>
      <w:r>
        <w:pict>
          <v:rect style="width:0;height:1.5pt" o:hralign="center" o:hrstd="t" o:hr="t"/>
        </w:pict>
      </w:r>
    </w:p>
    <w:bookmarkEnd w:id="20"/>
    <w:bookmarkStart w:id="21" w:name="Xb88ccaa10a10891ccd3d2201cd8d6ac32bc2b79"/>
    <w:p>
      <w:pPr>
        <w:pStyle w:val="Heading2"/>
      </w:pPr>
      <w:r>
        <w:t xml:space="preserve">7. Commercial Lines remains an underappreciated positive</w:t>
      </w:r>
    </w:p>
    <w:p>
      <w:pPr>
        <w:pStyle w:val="FirstParagraph"/>
      </w:pPr>
      <w:r>
        <w:t xml:space="preserve">Commercial Lines generated:</w:t>
      </w:r>
    </w:p>
    <w:p>
      <w:pPr>
        <w:pStyle w:val="Compact"/>
        <w:numPr>
          <w:ilvl w:val="0"/>
          <w:numId w:val="1012"/>
        </w:numPr>
      </w:pPr>
      <w:r>
        <w:t xml:space="preserve">A</w:t>
      </w:r>
      <w:r>
        <w:t xml:space="preserve"> </w:t>
      </w:r>
      <w:r>
        <w:rPr>
          <w:b/>
          <w:bCs/>
        </w:rPr>
        <w:t xml:space="preserve">14.7% underwriting margin</w:t>
      </w:r>
      <w:r>
        <w:t xml:space="preserve">;</w:t>
      </w:r>
    </w:p>
    <w:p>
      <w:pPr>
        <w:pStyle w:val="Compact"/>
        <w:numPr>
          <w:ilvl w:val="0"/>
          <w:numId w:val="1012"/>
        </w:numPr>
      </w:pPr>
      <w:r>
        <w:t xml:space="preserve">A combined ratio of</w:t>
      </w:r>
      <w:r>
        <w:t xml:space="preserve"> </w:t>
      </w:r>
      <w:r>
        <w:rPr>
          <w:b/>
          <w:bCs/>
        </w:rPr>
        <w:t xml:space="preserve">85.3</w:t>
      </w:r>
      <w:r>
        <w:t xml:space="preserve">;</w:t>
      </w:r>
    </w:p>
    <w:p>
      <w:pPr>
        <w:pStyle w:val="Compact"/>
        <w:numPr>
          <w:ilvl w:val="0"/>
          <w:numId w:val="1012"/>
        </w:numPr>
      </w:pPr>
      <w:r>
        <w:rPr>
          <w:b/>
          <w:bCs/>
        </w:rPr>
        <w:t xml:space="preserve">4%</w:t>
      </w:r>
      <w:r>
        <w:t xml:space="preserve"> </w:t>
      </w:r>
      <w:r>
        <w:t xml:space="preserve">premium growth; and</w:t>
      </w:r>
    </w:p>
    <w:p>
      <w:pPr>
        <w:pStyle w:val="Compact"/>
        <w:numPr>
          <w:ilvl w:val="0"/>
          <w:numId w:val="1012"/>
        </w:numPr>
      </w:pPr>
      <w:r>
        <w:rPr>
          <w:b/>
          <w:bCs/>
        </w:rPr>
        <w:t xml:space="preserve">3%</w:t>
      </w:r>
      <w:r>
        <w:t xml:space="preserve"> </w:t>
      </w:r>
      <w:r>
        <w:t xml:space="preserve">policy growth.</w:t>
      </w:r>
    </w:p>
    <w:p>
      <w:pPr>
        <w:pStyle w:val="FirstParagraph"/>
      </w:pPr>
      <w:r>
        <w:t xml:space="preserve">The core commercial-auto book benefited from an 8% decline in frequency, offsetting 5% severity inflation. Management is using targeted rate reductions, advertising and agent incentives to stimulate growth.</w:t>
      </w:r>
    </w:p>
    <w:p>
      <w:pPr>
        <w:pStyle w:val="BodyText"/>
      </w:pPr>
      <w:r>
        <w:t xml:space="preserve">The principal watch item is mix. Growth is shifting toward contractor and business-auto customers and toward six-month policies, which lowers reported written premium per policy. Higher litigation and defense costs in core commercial auto also partially offset favorable reserve trends elsewhere.</w:t>
      </w:r>
    </w:p>
    <w:p>
      <w:pPr>
        <w:pStyle w:val="BodyText"/>
      </w:pPr>
      <w:r>
        <w:t xml:space="preserve">A constructive call would indicate that Progressive can accelerate commercial growth while maintaining a substantial profitability advantage over an industry that continues to struggle with social inflation.</w:t>
      </w:r>
    </w:p>
    <w:p>
      <w:r>
        <w:pict>
          <v:rect style="width:0;height:1.5pt" o:hralign="center" o:hrstd="t" o:hr="t"/>
        </w:pict>
      </w:r>
    </w:p>
    <w:bookmarkEnd w:id="21"/>
    <w:bookmarkStart w:id="22" w:name="X94a027a9c171b1d728cac773086264728f39b9f"/>
    <w:p>
      <w:pPr>
        <w:pStyle w:val="Heading2"/>
      </w:pPr>
      <w:r>
        <w:t xml:space="preserve">8. Capital deployment could provide support</w:t>
      </w:r>
    </w:p>
    <w:p>
      <w:pPr>
        <w:pStyle w:val="FirstParagraph"/>
      </w:pPr>
      <w:r>
        <w:t xml:space="preserve">Progressive remains heavily capitalized:</w:t>
      </w:r>
    </w:p>
    <w:p>
      <w:pPr>
        <w:pStyle w:val="Compact"/>
        <w:numPr>
          <w:ilvl w:val="0"/>
          <w:numId w:val="1013"/>
        </w:numPr>
      </w:pPr>
      <w:r>
        <w:t xml:space="preserve">Total capital was</w:t>
      </w:r>
      <w:r>
        <w:t xml:space="preserve"> </w:t>
      </w:r>
      <w:r>
        <w:rPr>
          <w:b/>
          <w:bCs/>
        </w:rPr>
        <w:t xml:space="preserve">$42.7 billion</w:t>
      </w:r>
      <w:r>
        <w:t xml:space="preserve"> </w:t>
      </w:r>
      <w:r>
        <w:t xml:space="preserve">at June 30.</w:t>
      </w:r>
    </w:p>
    <w:p>
      <w:pPr>
        <w:pStyle w:val="Compact"/>
        <w:numPr>
          <w:ilvl w:val="0"/>
          <w:numId w:val="1013"/>
        </w:numPr>
      </w:pPr>
      <w:r>
        <w:t xml:space="preserve">Estimated statutory surplus was</w:t>
      </w:r>
      <w:r>
        <w:t xml:space="preserve"> </w:t>
      </w:r>
      <w:r>
        <w:rPr>
          <w:b/>
          <w:bCs/>
        </w:rPr>
        <w:t xml:space="preserve">$32.9 billion</w:t>
      </w:r>
      <w:r>
        <w:t xml:space="preserve">.</w:t>
      </w:r>
    </w:p>
    <w:p>
      <w:pPr>
        <w:pStyle w:val="Compact"/>
        <w:numPr>
          <w:ilvl w:val="0"/>
          <w:numId w:val="1013"/>
        </w:numPr>
      </w:pPr>
      <w:r>
        <w:t xml:space="preserve">The holding company had</w:t>
      </w:r>
      <w:r>
        <w:t xml:space="preserve"> </w:t>
      </w:r>
      <w:r>
        <w:rPr>
          <w:b/>
          <w:bCs/>
        </w:rPr>
        <w:t xml:space="preserve">$6.7 billion</w:t>
      </w:r>
      <w:r>
        <w:t xml:space="preserve"> </w:t>
      </w:r>
      <w:r>
        <w:t xml:space="preserve">in a non-insurance subsidiary.</w:t>
      </w:r>
    </w:p>
    <w:p>
      <w:pPr>
        <w:pStyle w:val="Compact"/>
        <w:numPr>
          <w:ilvl w:val="0"/>
          <w:numId w:val="1013"/>
        </w:numPr>
      </w:pPr>
      <w:r>
        <w:t xml:space="preserve">Debt to total capital was</w:t>
      </w:r>
      <w:r>
        <w:t xml:space="preserve"> </w:t>
      </w:r>
      <w:r>
        <w:rPr>
          <w:b/>
          <w:bCs/>
        </w:rPr>
        <w:t xml:space="preserve">19.6%</w:t>
      </w:r>
      <w:r>
        <w:t xml:space="preserve">, below the company’s 30% ceiling.</w:t>
      </w:r>
    </w:p>
    <w:p>
      <w:pPr>
        <w:pStyle w:val="Compact"/>
        <w:numPr>
          <w:ilvl w:val="0"/>
          <w:numId w:val="1013"/>
        </w:numPr>
      </w:pPr>
      <w:r>
        <w:t xml:space="preserve">First-half operating cash flow was</w:t>
      </w:r>
      <w:r>
        <w:t xml:space="preserve"> </w:t>
      </w:r>
      <w:r>
        <w:rPr>
          <w:b/>
          <w:bCs/>
        </w:rPr>
        <w:t xml:space="preserve">$8.0 billion</w:t>
      </w:r>
      <w:r>
        <w:t xml:space="preserve">.</w:t>
      </w:r>
    </w:p>
    <w:p>
      <w:pPr>
        <w:pStyle w:val="FirstParagraph"/>
      </w:pPr>
      <w:r>
        <w:t xml:space="preserve">During the first half, Progressive repurchased</w:t>
      </w:r>
      <w:r>
        <w:t xml:space="preserve"> </w:t>
      </w:r>
      <w:r>
        <w:rPr>
          <w:b/>
          <w:bCs/>
        </w:rPr>
        <w:t xml:space="preserve">5.4 million shares for $1.1 billion</w:t>
      </w:r>
      <w:r>
        <w:t xml:space="preserve">. Management has said repurchases are scaled according to the discount between the market price and its internal estimate of long-term fair value.</w:t>
      </w:r>
    </w:p>
    <w:p>
      <w:pPr>
        <w:pStyle w:val="BodyText"/>
      </w:pPr>
      <w:r>
        <w:t xml:space="preserve">PGR closed at</w:t>
      </w:r>
      <w:r>
        <w:t xml:space="preserve"> </w:t>
      </w:r>
      <w:r>
        <w:rPr>
          <w:b/>
          <w:bCs/>
        </w:rPr>
        <w:t xml:space="preserve">$210.50 on August 3</w:t>
      </w:r>
      <w:r>
        <w:t xml:space="preserve">, roughly flat year to date and about 10% below its July high. The shares fell 9% on July 15 when Q2 results were released, signaling that investors are focused more on slowing growth and margin normalization than on the still-excellent headline profitability.</w:t>
      </w:r>
    </w:p>
    <w:p>
      <w:pPr>
        <w:pStyle w:val="BodyText"/>
      </w:pPr>
      <w:r>
        <w:t xml:space="preserve">Investors should listen for whether recent share-price weakness has caused management to increase repurchase activity.</w:t>
      </w:r>
    </w:p>
    <w:p>
      <w:r>
        <w:pict>
          <v:rect style="width:0;height:1.5pt" o:hralign="center" o:hrstd="t" o:hr="t"/>
        </w:pict>
      </w:r>
    </w:p>
    <w:bookmarkEnd w:id="22"/>
    <w:bookmarkStart w:id="26" w:name="bull-base-and-bear-interpretations"/>
    <w:p>
      <w:pPr>
        <w:pStyle w:val="Heading2"/>
      </w:pPr>
      <w:r>
        <w:t xml:space="preserve">Bull, base and bear interpretations</w:t>
      </w:r>
    </w:p>
    <w:bookmarkStart w:id="23" w:name="bull-case"/>
    <w:p>
      <w:pPr>
        <w:pStyle w:val="Heading3"/>
      </w:pPr>
      <w:r>
        <w:t xml:space="preserve">Bull case</w:t>
      </w:r>
    </w:p>
    <w:p>
      <w:pPr>
        <w:pStyle w:val="Compact"/>
        <w:numPr>
          <w:ilvl w:val="0"/>
          <w:numId w:val="1014"/>
        </w:numPr>
      </w:pPr>
      <w:r>
        <w:t xml:space="preserve">Advertising remains efficient despite higher spending.</w:t>
      </w:r>
    </w:p>
    <w:p>
      <w:pPr>
        <w:pStyle w:val="Compact"/>
        <w:numPr>
          <w:ilvl w:val="0"/>
          <w:numId w:val="1014"/>
        </w:numPr>
      </w:pPr>
      <w:r>
        <w:t xml:space="preserve">Personal-auto retention stabilizes as prior mix effects fade.</w:t>
      </w:r>
    </w:p>
    <w:p>
      <w:pPr>
        <w:pStyle w:val="Compact"/>
        <w:numPr>
          <w:ilvl w:val="0"/>
          <w:numId w:val="1014"/>
        </w:numPr>
      </w:pPr>
      <w:r>
        <w:t xml:space="preserve">Progressive sustains high-single-digit policy growth.</w:t>
      </w:r>
    </w:p>
    <w:p>
      <w:pPr>
        <w:pStyle w:val="Compact"/>
        <w:numPr>
          <w:ilvl w:val="0"/>
          <w:numId w:val="1014"/>
        </w:numPr>
      </w:pPr>
      <w:r>
        <w:t xml:space="preserve">Frequency remains benign and severity stays manageable.</w:t>
      </w:r>
    </w:p>
    <w:p>
      <w:pPr>
        <w:pStyle w:val="Compact"/>
        <w:numPr>
          <w:ilvl w:val="0"/>
          <w:numId w:val="1014"/>
        </w:numPr>
      </w:pPr>
      <w:r>
        <w:t xml:space="preserve">Robinsons/property expansion creates a credible new leg of long-term growth.</w:t>
      </w:r>
    </w:p>
    <w:p>
      <w:pPr>
        <w:pStyle w:val="Compact"/>
        <w:numPr>
          <w:ilvl w:val="0"/>
          <w:numId w:val="1014"/>
        </w:numPr>
      </w:pPr>
      <w:r>
        <w:t xml:space="preserve">The combined ratio normalizes upward but remains comfortably below 96.</w:t>
      </w:r>
    </w:p>
    <w:p>
      <w:pPr>
        <w:pStyle w:val="Compact"/>
        <w:numPr>
          <w:ilvl w:val="0"/>
          <w:numId w:val="1014"/>
        </w:numPr>
      </w:pPr>
      <w:r>
        <w:t xml:space="preserve">Excess capital supports continued repurchases and shareholder returns.</w:t>
      </w:r>
    </w:p>
    <w:bookmarkEnd w:id="23"/>
    <w:bookmarkStart w:id="24" w:name="base-case"/>
    <w:p>
      <w:pPr>
        <w:pStyle w:val="Heading3"/>
      </w:pPr>
      <w:r>
        <w:t xml:space="preserve">Base case</w:t>
      </w:r>
    </w:p>
    <w:p>
      <w:pPr>
        <w:pStyle w:val="Compact"/>
        <w:numPr>
          <w:ilvl w:val="0"/>
          <w:numId w:val="1015"/>
        </w:numPr>
      </w:pPr>
      <w:r>
        <w:t xml:space="preserve">Premium growth remains mid-single-digit while PIF growth gradually moderates.</w:t>
      </w:r>
    </w:p>
    <w:p>
      <w:pPr>
        <w:pStyle w:val="Compact"/>
        <w:numPr>
          <w:ilvl w:val="0"/>
          <w:numId w:val="1015"/>
        </w:numPr>
      </w:pPr>
      <w:r>
        <w:t xml:space="preserve">The combined ratio moves toward the low 90s as rates soften and advertising rises.</w:t>
      </w:r>
    </w:p>
    <w:p>
      <w:pPr>
        <w:pStyle w:val="Compact"/>
        <w:numPr>
          <w:ilvl w:val="0"/>
          <w:numId w:val="1015"/>
        </w:numPr>
      </w:pPr>
      <w:r>
        <w:t xml:space="preserve">Retention remains pressured, but strong conversion allows continued net policy growth.</w:t>
      </w:r>
    </w:p>
    <w:p>
      <w:pPr>
        <w:pStyle w:val="Compact"/>
        <w:numPr>
          <w:ilvl w:val="0"/>
          <w:numId w:val="1015"/>
        </w:numPr>
      </w:pPr>
      <w:r>
        <w:t xml:space="preserve">Robinsons growth is strategically attractive but takes several years to become financially material.</w:t>
      </w:r>
    </w:p>
    <w:p>
      <w:pPr>
        <w:pStyle w:val="Compact"/>
        <w:numPr>
          <w:ilvl w:val="0"/>
          <w:numId w:val="1015"/>
        </w:numPr>
      </w:pPr>
      <w:r>
        <w:t xml:space="preserve">PGR’s operational superiority persists, although near-term earnings growth is less spectacular than in 2024–25.</w:t>
      </w:r>
    </w:p>
    <w:bookmarkEnd w:id="24"/>
    <w:bookmarkStart w:id="25" w:name="bear-case"/>
    <w:p>
      <w:pPr>
        <w:pStyle w:val="Heading3"/>
      </w:pPr>
      <w:r>
        <w:t xml:space="preserve">Bear case</w:t>
      </w:r>
    </w:p>
    <w:p>
      <w:pPr>
        <w:pStyle w:val="Compact"/>
        <w:numPr>
          <w:ilvl w:val="0"/>
          <w:numId w:val="1016"/>
        </w:numPr>
      </w:pPr>
      <w:r>
        <w:t xml:space="preserve">Competitive rate reductions outpace improvements in loss costs.</w:t>
      </w:r>
    </w:p>
    <w:p>
      <w:pPr>
        <w:pStyle w:val="Compact"/>
        <w:numPr>
          <w:ilvl w:val="0"/>
          <w:numId w:val="1016"/>
        </w:numPr>
      </w:pPr>
      <w:r>
        <w:t xml:space="preserve">Bodily-injury and attorney-represented claim severity accelerates.</w:t>
      </w:r>
    </w:p>
    <w:p>
      <w:pPr>
        <w:pStyle w:val="Compact"/>
        <w:numPr>
          <w:ilvl w:val="0"/>
          <w:numId w:val="1016"/>
        </w:numPr>
      </w:pPr>
      <w:r>
        <w:t xml:space="preserve">Retention continues to weaken, reducing acquisition economics.</w:t>
      </w:r>
    </w:p>
    <w:p>
      <w:pPr>
        <w:pStyle w:val="Compact"/>
        <w:numPr>
          <w:ilvl w:val="0"/>
          <w:numId w:val="1016"/>
        </w:numPr>
      </w:pPr>
      <w:r>
        <w:t xml:space="preserve">Favorable reserve development fades, exposing a more pronounced rise in underlying ratios.</w:t>
      </w:r>
    </w:p>
    <w:p>
      <w:pPr>
        <w:pStyle w:val="Compact"/>
        <w:numPr>
          <w:ilvl w:val="0"/>
          <w:numId w:val="1016"/>
        </w:numPr>
      </w:pPr>
      <w:r>
        <w:t xml:space="preserve">Property expansion increases catastrophe volatility before bundled-household growth becomes meaningful.</w:t>
      </w:r>
    </w:p>
    <w:p>
      <w:pPr>
        <w:pStyle w:val="Compact"/>
        <w:numPr>
          <w:ilvl w:val="0"/>
          <w:numId w:val="1016"/>
        </w:numPr>
      </w:pPr>
      <w:r>
        <w:t xml:space="preserve">Premium and policy growth fall toward industry levels while PGR retains a premium valuation.</w:t>
      </w:r>
    </w:p>
    <w:p>
      <w:r>
        <w:pict>
          <v:rect style="width:0;height:1.5pt" o:hralign="center" o:hrstd="t" o:hr="t"/>
        </w:pict>
      </w:r>
    </w:p>
    <w:bookmarkEnd w:id="25"/>
    <w:bookmarkEnd w:id="26"/>
    <w:bookmarkStart w:id="27" w:name="most-important-questions-for-management"/>
    <w:p>
      <w:pPr>
        <w:pStyle w:val="Heading2"/>
      </w:pPr>
      <w:r>
        <w:t xml:space="preserve">Most important questions for management</w:t>
      </w:r>
    </w:p>
    <w:p>
      <w:pPr>
        <w:pStyle w:val="Compact"/>
        <w:numPr>
          <w:ilvl w:val="0"/>
          <w:numId w:val="1017"/>
        </w:numPr>
      </w:pPr>
      <w:r>
        <w:rPr>
          <w:b/>
          <w:bCs/>
        </w:rPr>
        <w:t xml:space="preserve">How much further margin compression is management prepared to accept to sustain policy growth?</w:t>
      </w:r>
    </w:p>
    <w:p>
      <w:pPr>
        <w:pStyle w:val="Compact"/>
        <w:numPr>
          <w:ilvl w:val="0"/>
          <w:numId w:val="1017"/>
        </w:numPr>
      </w:pPr>
      <w:r>
        <w:rPr>
          <w:b/>
          <w:bCs/>
        </w:rPr>
        <w:t xml:space="preserve">Is customer-acquisition cost still comfortably below target, or only marginally below it?</w:t>
      </w:r>
    </w:p>
    <w:p>
      <w:pPr>
        <w:pStyle w:val="Compact"/>
        <w:numPr>
          <w:ilvl w:val="0"/>
          <w:numId w:val="1017"/>
        </w:numPr>
      </w:pPr>
      <w:r>
        <w:rPr>
          <w:b/>
          <w:bCs/>
        </w:rPr>
        <w:t xml:space="preserve">When should the decline in personal-auto policy life expectancy begin to stabilize?</w:t>
      </w:r>
    </w:p>
    <w:p>
      <w:pPr>
        <w:pStyle w:val="Compact"/>
        <w:numPr>
          <w:ilvl w:val="0"/>
          <w:numId w:val="1017"/>
        </w:numPr>
      </w:pPr>
      <w:r>
        <w:rPr>
          <w:b/>
          <w:bCs/>
        </w:rPr>
        <w:t xml:space="preserve">Are newer, more aggressively acquired customer cohorts retaining and developing as expected?</w:t>
      </w:r>
    </w:p>
    <w:p>
      <w:pPr>
        <w:pStyle w:val="Compact"/>
        <w:numPr>
          <w:ilvl w:val="0"/>
          <w:numId w:val="1017"/>
        </w:numPr>
      </w:pPr>
      <w:r>
        <w:rPr>
          <w:b/>
          <w:bCs/>
        </w:rPr>
        <w:t xml:space="preserve">Does 7% bodily-injury severity require additional pricing action?</w:t>
      </w:r>
    </w:p>
    <w:p>
      <w:pPr>
        <w:pStyle w:val="Compact"/>
        <w:numPr>
          <w:ilvl w:val="0"/>
          <w:numId w:val="1017"/>
        </w:numPr>
      </w:pPr>
      <w:r>
        <w:rPr>
          <w:b/>
          <w:bCs/>
        </w:rPr>
        <w:t xml:space="preserve">How much of Q2’s favorable reserve development should investors consider repeatable?</w:t>
      </w:r>
    </w:p>
    <w:p>
      <w:pPr>
        <w:pStyle w:val="Compact"/>
        <w:numPr>
          <w:ilvl w:val="0"/>
          <w:numId w:val="1017"/>
        </w:numPr>
      </w:pPr>
      <w:r>
        <w:rPr>
          <w:b/>
          <w:bCs/>
        </w:rPr>
        <w:t xml:space="preserve">What measurable Robinson and bundled-household targets should investors track?</w:t>
      </w:r>
    </w:p>
    <w:p>
      <w:pPr>
        <w:pStyle w:val="Compact"/>
        <w:numPr>
          <w:ilvl w:val="0"/>
          <w:numId w:val="1017"/>
        </w:numPr>
      </w:pPr>
      <w:r>
        <w:rPr>
          <w:b/>
          <w:bCs/>
        </w:rPr>
        <w:t xml:space="preserve">How quickly can reopened homeowners markets contribute to auto and property growth?</w:t>
      </w:r>
    </w:p>
    <w:p>
      <w:pPr>
        <w:pStyle w:val="Compact"/>
        <w:numPr>
          <w:ilvl w:val="0"/>
          <w:numId w:val="1017"/>
        </w:numPr>
      </w:pPr>
      <w:r>
        <w:rPr>
          <w:b/>
          <w:bCs/>
        </w:rPr>
        <w:t xml:space="preserve">What catastrophe and capital constraints limit property expansion?</w:t>
      </w:r>
    </w:p>
    <w:p>
      <w:pPr>
        <w:pStyle w:val="Compact"/>
        <w:numPr>
          <w:ilvl w:val="0"/>
          <w:numId w:val="1017"/>
        </w:numPr>
      </w:pPr>
      <w:r>
        <w:rPr>
          <w:b/>
          <w:bCs/>
        </w:rPr>
        <w:t xml:space="preserve">Has PGR’s recent share-price decline increased the attractiveness of repurchases?</w:t>
      </w:r>
    </w:p>
    <w:bookmarkEnd w:id="27"/>
    <w:bookmarkStart w:id="28" w:name="bottom-line"/>
    <w:p>
      <w:pPr>
        <w:pStyle w:val="Heading2"/>
      </w:pPr>
      <w:r>
        <w:t xml:space="preserve">Bottom line</w:t>
      </w:r>
    </w:p>
    <w:p>
      <w:pPr>
        <w:pStyle w:val="FirstParagraph"/>
      </w:pPr>
      <w:r>
        <w:t xml:space="preserve">Progressive’s Q2 numbers confirm that it remains one of the highest-quality operators in property-casualty insurance. The company is still producing exceptional underwriting profits while adding policies and taking share.</w:t>
      </w:r>
    </w:p>
    <w:p>
      <w:pPr>
        <w:pStyle w:val="BodyText"/>
      </w:pPr>
      <w:r>
        <w:t xml:space="preserve">But the stock’s next move is more likely to depend on the</w:t>
      </w:r>
      <w:r>
        <w:t xml:space="preserve"> </w:t>
      </w:r>
      <w:r>
        <w:rPr>
          <w:b/>
          <w:bCs/>
        </w:rPr>
        <w:t xml:space="preserve">trajectory</w:t>
      </w:r>
      <w:r>
        <w:t xml:space="preserve"> </w:t>
      </w:r>
      <w:r>
        <w:t xml:space="preserve">than the reported quarter. The investor call needs to establish that slower premium growth, lower retention and higher advertising are the controlled consequences of a rational growth strategy—not early evidence that Progressive’s unusually favorable underwriting cycle is ending.</w:t>
      </w:r>
    </w:p>
    <w:p>
      <w:pPr>
        <w:pStyle w:val="BodyText"/>
      </w:pPr>
      <w:r>
        <w:t xml:space="preserve">The best outcome would be a credible path to high-single-digit policy growth, accident-year combined ratios around 90–92, and meaningful progress in Robinsons. Conversely, continued retention deterioration or evidence that customer-acquisition economics are tightening would reinforce concerns that both growth and margins are moving toward less exceptional levels.</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2026-08-04T01:23:08Z</dcterms:created>
  <dcterms:modified xsi:type="dcterms:W3CDTF">2026-08-04T01:23:08Z</dcterms:modified>
</cp:coreProperties>
</file>

<file path=docProps/custom.xml><?xml version="1.0" encoding="utf-8"?>
<Properties xmlns="http://schemas.openxmlformats.org/officeDocument/2006/custom-properties" xmlns:vt="http://schemas.openxmlformats.org/officeDocument/2006/docPropsVTypes"/>
</file>