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c75ee4f996c74eddf799c3767b122b76cf2fc87"/>
    <w:p>
      <w:pPr>
        <w:pStyle w:val="Heading1"/>
      </w:pPr>
      <w:r>
        <w:t xml:space="preserve">Progressive (NYSE: PGR) — 2Q26 Investor-Call Preview</w:t>
      </w:r>
    </w:p>
    <w:p>
      <w:pPr>
        <w:pStyle w:val="BlockText"/>
      </w:pPr>
      <w:r>
        <w:rPr>
          <w:b/>
          <w:bCs/>
        </w:rPr>
        <w:t xml:space="preserve">Timing clarification:</w:t>
      </w:r>
      <w:r>
        <w:t xml:space="preserve"> </w:t>
      </w:r>
      <w:r>
        <w:t xml:space="preserve">PGR already released its June-quarter results on</w:t>
      </w:r>
      <w:r>
        <w:t xml:space="preserve"> </w:t>
      </w:r>
      <w:r>
        <w:rPr>
          <w:b/>
          <w:bCs/>
        </w:rPr>
        <w:t xml:space="preserve">July 15, 2026</w:t>
      </w:r>
      <w:r>
        <w:t xml:space="preserve"> </w:t>
      </w:r>
      <w:r>
        <w:t xml:space="preserve">and filed its 10-Q on</w:t>
      </w:r>
      <w:r>
        <w:t xml:space="preserve"> </w:t>
      </w:r>
      <w:r>
        <w:rPr>
          <w:b/>
          <w:bCs/>
        </w:rPr>
        <w:t xml:space="preserve">August 3, 2026</w:t>
      </w:r>
      <w:r>
        <w:t xml:space="preserve">. The event on</w:t>
      </w:r>
      <w:r>
        <w:t xml:space="preserve"> </w:t>
      </w:r>
      <w:r>
        <w:rPr>
          <w:b/>
          <w:bCs/>
        </w:rPr>
        <w:t xml:space="preserve">Tuesday, August 4, 2026 at 9:30 a.m. ET</w:t>
      </w:r>
      <w:r>
        <w:t xml:space="preserve"> </w:t>
      </w:r>
      <w:r>
        <w:t xml:space="preserve">is therefore not a first look at earnings; it is the company’s 2Q investor call. The scheduled presentation focus is the</w:t>
      </w:r>
      <w:r>
        <w:t xml:space="preserve"> </w:t>
      </w:r>
      <w:r>
        <w:rPr>
          <w:b/>
          <w:bCs/>
        </w:rPr>
        <w:t xml:space="preserve">“Robinsons” consumer segment</w:t>
      </w:r>
      <w:r>
        <w:t xml:space="preserve">—homeowners who bundle auto and home coverage—followed by Q&amp;A with CEO Tricia Griffith and CFO Andrew Quigg.</w:t>
      </w:r>
    </w:p>
    <w:bookmarkStart w:id="9" w:name="bottom-line"/>
    <w:p>
      <w:pPr>
        <w:pStyle w:val="Heading2"/>
      </w:pPr>
      <w:r>
        <w:t xml:space="preserve">Bottom line</w:t>
      </w:r>
    </w:p>
    <w:p>
      <w:pPr>
        <w:pStyle w:val="FirstParagraph"/>
      </w:pPr>
      <w:r>
        <w:t xml:space="preserve">The call is less about whether PGR delivered a good quarter—it did, with an</w:t>
      </w:r>
      <w:r>
        <w:t xml:space="preserve"> </w:t>
      </w:r>
      <w:r>
        <w:rPr>
          <w:b/>
          <w:bCs/>
        </w:rPr>
        <w:t xml:space="preserve">87.3 combined ratio</w:t>
      </w:r>
      <w:r>
        <w:t xml:space="preserve">,</w:t>
      </w:r>
      <w:r>
        <w:t xml:space="preserve"> </w:t>
      </w:r>
      <w:r>
        <w:rPr>
          <w:b/>
          <w:bCs/>
        </w:rPr>
        <w:t xml:space="preserve">7% policy-in-force growth</w:t>
      </w:r>
      <w:r>
        <w:t xml:space="preserve">, and</w:t>
      </w:r>
      <w:r>
        <w:t xml:space="preserve"> </w:t>
      </w:r>
      <w:r>
        <w:rPr>
          <w:b/>
          <w:bCs/>
        </w:rPr>
        <w:t xml:space="preserve">$5.67 of diluted EPS</w:t>
      </w:r>
      <w:r>
        <w:t xml:space="preserve">—and more about the durability of those results as Progressive shifts from aggressive rate increases toward growth and selective rate reductions.</w:t>
      </w:r>
    </w:p>
    <w:p>
      <w:pPr>
        <w:pStyle w:val="BodyText"/>
      </w:pPr>
      <w:r>
        <w:t xml:space="preserve">The central investor debate is clear:</w:t>
      </w:r>
    </w:p>
    <w:p>
      <w:pPr>
        <w:pStyle w:val="Compact"/>
        <w:numPr>
          <w:ilvl w:val="0"/>
          <w:numId w:val="1001"/>
        </w:numPr>
      </w:pPr>
      <w:r>
        <w:rPr>
          <w:b/>
          <w:bCs/>
        </w:rPr>
        <w:t xml:space="preserve">Bull case:</w:t>
      </w:r>
      <w:r>
        <w:t xml:space="preserve"> </w:t>
      </w:r>
      <w:r>
        <w:t xml:space="preserve">PGR is still compounding policies at a high-single-digit rate, has retained exceptional underwriting profitability well above its 4% underwriting-margin target, and has substantial capital flexibility.</w:t>
      </w:r>
    </w:p>
    <w:p>
      <w:pPr>
        <w:pStyle w:val="Compact"/>
        <w:numPr>
          <w:ilvl w:val="0"/>
          <w:numId w:val="1001"/>
        </w:numPr>
      </w:pPr>
      <w:r>
        <w:rPr>
          <w:b/>
          <w:bCs/>
        </w:rPr>
        <w:t xml:space="preserve">Bear case:</w:t>
      </w:r>
      <w:r>
        <w:t xml:space="preserve"> </w:t>
      </w:r>
      <w:r>
        <w:t xml:space="preserve">The reported profitability is flattered by</w:t>
      </w:r>
      <w:r>
        <w:t xml:space="preserve"> </w:t>
      </w:r>
      <w:r>
        <w:rPr>
          <w:b/>
          <w:bCs/>
        </w:rPr>
        <w:t xml:space="preserve">$551 million of favorable prior-year reserve development</w:t>
      </w:r>
      <w:r>
        <w:t xml:space="preserve"> </w:t>
      </w:r>
      <w:r>
        <w:t xml:space="preserve">and strong investment-mark gains, while the underlying accident-year loss ratio worsened, personal-auto retention weakened, and advertising spend accelerated.</w:t>
      </w:r>
    </w:p>
    <w:p>
      <w:pPr>
        <w:pStyle w:val="FirstParagraph"/>
      </w:pPr>
      <w:r>
        <w:t xml:space="preserve">The stock appears to have already reflected some of that concern: PGR fell roughly</w:t>
      </w:r>
      <w:r>
        <w:t xml:space="preserve"> </w:t>
      </w:r>
      <w:r>
        <w:rPr>
          <w:b/>
          <w:bCs/>
        </w:rPr>
        <w:t xml:space="preserve">9.4% on July 15</w:t>
      </w:r>
      <w:r>
        <w:t xml:space="preserve">, the day it reported June-quarter results, and remained about</w:t>
      </w:r>
      <w:r>
        <w:t xml:space="preserve"> </w:t>
      </w:r>
      <w:r>
        <w:rPr>
          <w:b/>
          <w:bCs/>
        </w:rPr>
        <w:t xml:space="preserve">10% below its July 13 close</w:t>
      </w:r>
      <w:r>
        <w:t xml:space="preserve"> </w:t>
      </w:r>
      <w:r>
        <w:t xml:space="preserve">as of August 3.</w:t>
      </w:r>
    </w:p>
    <w:p>
      <w:r>
        <w:pict>
          <v:rect style="width:0;height:1.5pt" o:hralign="center" o:hrstd="t" o:hr="t"/>
        </w:pict>
      </w:r>
    </w:p>
    <w:bookmarkEnd w:id="9"/>
    <w:bookmarkStart w:id="10" w:name="what-pgr-reported"/>
    <w:p>
      <w:pPr>
        <w:pStyle w:val="Heading2"/>
      </w:pPr>
      <w:r>
        <w:t xml:space="preserve">What PGR reported</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2Q26</w:t>
            </w:r>
          </w:p>
        </w:tc>
        <w:tc>
          <w:tcPr/>
          <w:p>
            <w:pPr>
              <w:pStyle w:val="Compact"/>
              <w:jc w:val="right"/>
            </w:pPr>
            <w:r>
              <w:t xml:space="preserve">2Q25</w:t>
            </w:r>
          </w:p>
        </w:tc>
        <w:tc>
          <w:tcPr/>
          <w:p>
            <w:pPr>
              <w:pStyle w:val="Compact"/>
              <w:jc w:val="right"/>
            </w:pPr>
            <w:r>
              <w:t xml:space="preserve">YoY</w:t>
            </w:r>
          </w:p>
        </w:tc>
      </w:tr>
      <w:tr>
        <w:tc>
          <w:tcPr/>
          <w:p>
            <w:pPr>
              <w:pStyle w:val="Compact"/>
            </w:pPr>
            <w:r>
              <w:t xml:space="preserve">Net premiums written</w:t>
            </w:r>
          </w:p>
        </w:tc>
        <w:tc>
          <w:tcPr/>
          <w:p>
            <w:pPr>
              <w:pStyle w:val="Compact"/>
              <w:jc w:val="right"/>
            </w:pPr>
            <w:r>
              <w:t xml:space="preserve">$21.1B</w:t>
            </w:r>
          </w:p>
        </w:tc>
        <w:tc>
          <w:tcPr/>
          <w:p>
            <w:pPr>
              <w:pStyle w:val="Compact"/>
              <w:jc w:val="right"/>
            </w:pPr>
            <w:r>
              <w:t xml:space="preserve">$20.1B</w:t>
            </w:r>
          </w:p>
        </w:tc>
        <w:tc>
          <w:tcPr/>
          <w:p>
            <w:pPr>
              <w:pStyle w:val="Compact"/>
              <w:jc w:val="right"/>
            </w:pPr>
            <w:r>
              <w:t xml:space="preserve">+5%</w:t>
            </w:r>
          </w:p>
        </w:tc>
      </w:tr>
      <w:tr>
        <w:tc>
          <w:tcPr/>
          <w:p>
            <w:pPr>
              <w:pStyle w:val="Compact"/>
            </w:pPr>
            <w:r>
              <w:t xml:space="preserve">Net premiums earned</w:t>
            </w:r>
          </w:p>
        </w:tc>
        <w:tc>
          <w:tcPr/>
          <w:p>
            <w:pPr>
              <w:pStyle w:val="Compact"/>
              <w:jc w:val="right"/>
            </w:pPr>
            <w:r>
              <w:t xml:space="preserve">$21.6B</w:t>
            </w:r>
          </w:p>
        </w:tc>
        <w:tc>
          <w:tcPr/>
          <w:p>
            <w:pPr>
              <w:pStyle w:val="Compact"/>
              <w:jc w:val="right"/>
            </w:pPr>
            <w:r>
              <w:t xml:space="preserve">$20.3B</w:t>
            </w:r>
          </w:p>
        </w:tc>
        <w:tc>
          <w:tcPr/>
          <w:p>
            <w:pPr>
              <w:pStyle w:val="Compact"/>
              <w:jc w:val="right"/>
            </w:pPr>
            <w:r>
              <w:t xml:space="preserve">+6%</w:t>
            </w:r>
          </w:p>
        </w:tc>
      </w:tr>
      <w:tr>
        <w:tc>
          <w:tcPr/>
          <w:p>
            <w:pPr>
              <w:pStyle w:val="Compact"/>
            </w:pPr>
            <w:r>
              <w:t xml:space="preserve">Underwriting profit</w:t>
            </w:r>
          </w:p>
        </w:tc>
        <w:tc>
          <w:tcPr/>
          <w:p>
            <w:pPr>
              <w:pStyle w:val="Compact"/>
              <w:jc w:val="right"/>
            </w:pPr>
            <w:r>
              <w:t xml:space="preserve">$2.73B</w:t>
            </w:r>
          </w:p>
        </w:tc>
        <w:tc>
          <w:tcPr/>
          <w:p>
            <w:pPr>
              <w:pStyle w:val="Compact"/>
              <w:jc w:val="right"/>
            </w:pPr>
            <w:r>
              <w:t xml:space="preserve">$2.81B</w:t>
            </w:r>
          </w:p>
        </w:tc>
        <w:tc>
          <w:tcPr/>
          <w:p>
            <w:pPr>
              <w:pStyle w:val="Compact"/>
              <w:jc w:val="right"/>
            </w:pPr>
            <w:r>
              <w:t xml:space="preserve">-3%</w:t>
            </w:r>
          </w:p>
        </w:tc>
      </w:tr>
      <w:tr>
        <w:tc>
          <w:tcPr/>
          <w:p>
            <w:pPr>
              <w:pStyle w:val="Compact"/>
            </w:pPr>
            <w:r>
              <w:t xml:space="preserve">Combined ratio</w:t>
            </w:r>
          </w:p>
        </w:tc>
        <w:tc>
          <w:tcPr/>
          <w:p>
            <w:pPr>
              <w:pStyle w:val="Compact"/>
              <w:jc w:val="right"/>
            </w:pPr>
            <w:r>
              <w:t xml:space="preserve">87.3</w:t>
            </w:r>
          </w:p>
        </w:tc>
        <w:tc>
          <w:tcPr/>
          <w:p>
            <w:pPr>
              <w:pStyle w:val="Compact"/>
              <w:jc w:val="right"/>
            </w:pPr>
            <w:r>
              <w:t xml:space="preserve">86.2</w:t>
            </w:r>
          </w:p>
        </w:tc>
        <w:tc>
          <w:tcPr/>
          <w:p>
            <w:pPr>
              <w:pStyle w:val="Compact"/>
              <w:jc w:val="right"/>
            </w:pPr>
            <w:r>
              <w:t xml:space="preserve">+1.1 pts</w:t>
            </w:r>
          </w:p>
        </w:tc>
      </w:tr>
      <w:tr>
        <w:tc>
          <w:tcPr/>
          <w:p>
            <w:pPr>
              <w:pStyle w:val="Compact"/>
            </w:pPr>
            <w:r>
              <w:t xml:space="preserve">Net income</w:t>
            </w:r>
          </w:p>
        </w:tc>
        <w:tc>
          <w:tcPr/>
          <w:p>
            <w:pPr>
              <w:pStyle w:val="Compact"/>
              <w:jc w:val="right"/>
            </w:pPr>
            <w:r>
              <w:t xml:space="preserve">$3.31B</w:t>
            </w:r>
          </w:p>
        </w:tc>
        <w:tc>
          <w:tcPr/>
          <w:p>
            <w:pPr>
              <w:pStyle w:val="Compact"/>
              <w:jc w:val="right"/>
            </w:pPr>
            <w:r>
              <w:t xml:space="preserve">$3.18B</w:t>
            </w:r>
          </w:p>
        </w:tc>
        <w:tc>
          <w:tcPr/>
          <w:p>
            <w:pPr>
              <w:pStyle w:val="Compact"/>
              <w:jc w:val="right"/>
            </w:pPr>
            <w:r>
              <w:t xml:space="preserve">+4%</w:t>
            </w:r>
          </w:p>
        </w:tc>
      </w:tr>
      <w:tr>
        <w:tc>
          <w:tcPr/>
          <w:p>
            <w:pPr>
              <w:pStyle w:val="Compact"/>
            </w:pPr>
            <w:r>
              <w:t xml:space="preserve">Diluted EPS</w:t>
            </w:r>
          </w:p>
        </w:tc>
        <w:tc>
          <w:tcPr/>
          <w:p>
            <w:pPr>
              <w:pStyle w:val="Compact"/>
              <w:jc w:val="right"/>
            </w:pPr>
            <w:r>
              <w:t xml:space="preserve">$5.67</w:t>
            </w:r>
          </w:p>
        </w:tc>
        <w:tc>
          <w:tcPr/>
          <w:p>
            <w:pPr>
              <w:pStyle w:val="Compact"/>
              <w:jc w:val="right"/>
            </w:pPr>
            <w:r>
              <w:t xml:space="preserve">$5.40</w:t>
            </w:r>
          </w:p>
        </w:tc>
        <w:tc>
          <w:tcPr/>
          <w:p>
            <w:pPr>
              <w:pStyle w:val="Compact"/>
              <w:jc w:val="right"/>
            </w:pPr>
            <w:r>
              <w:t xml:space="preserve">+5%</w:t>
            </w:r>
          </w:p>
        </w:tc>
      </w:tr>
      <w:tr>
        <w:tc>
          <w:tcPr/>
          <w:p>
            <w:pPr>
              <w:pStyle w:val="Compact"/>
            </w:pPr>
            <w:r>
              <w:t xml:space="preserve">Policies in force</w:t>
            </w:r>
          </w:p>
        </w:tc>
        <w:tc>
          <w:tcPr/>
          <w:p>
            <w:pPr>
              <w:pStyle w:val="Compact"/>
              <w:jc w:val="right"/>
            </w:pPr>
            <w:r>
              <w:t xml:space="preserve">40.1M</w:t>
            </w:r>
          </w:p>
        </w:tc>
        <w:tc>
          <w:tcPr/>
          <w:p>
            <w:pPr>
              <w:pStyle w:val="Compact"/>
              <w:jc w:val="right"/>
            </w:pPr>
            <w:r>
              <w:t xml:space="preserve">37.3M</w:t>
            </w:r>
          </w:p>
        </w:tc>
        <w:tc>
          <w:tcPr/>
          <w:p>
            <w:pPr>
              <w:pStyle w:val="Compact"/>
              <w:jc w:val="right"/>
            </w:pPr>
            <w:r>
              <w:t xml:space="preserve">+7%</w:t>
            </w:r>
          </w:p>
        </w:tc>
      </w:tr>
    </w:tbl>
    <w:p>
      <w:pPr>
        <w:pStyle w:val="BodyText"/>
      </w:pPr>
      <w:r>
        <w:t xml:space="preserve">An</w:t>
      </w:r>
      <w:r>
        <w:t xml:space="preserve"> </w:t>
      </w:r>
      <w:r>
        <w:rPr>
          <w:b/>
          <w:bCs/>
        </w:rPr>
        <w:t xml:space="preserve">87.3 combined ratio</w:t>
      </w:r>
      <w:r>
        <w:t xml:space="preserve"> </w:t>
      </w:r>
      <w:r>
        <w:t xml:space="preserve">equates to a very strong</w:t>
      </w:r>
      <w:r>
        <w:t xml:space="preserve"> </w:t>
      </w:r>
      <w:r>
        <w:rPr>
          <w:b/>
          <w:bCs/>
        </w:rPr>
        <w:t xml:space="preserve">12.7% underwriting margin</w:t>
      </w:r>
      <w:r>
        <w:t xml:space="preserve">, far above Progressive’s stated companywide calendar-year profitability goal of 4%. However, the year-over-year deterioration in the combined ratio is important: the business is still highly profitable, but the margin is normalizing as claim severity and customer-acquisition spending rise.</w:t>
      </w:r>
    </w:p>
    <w:p>
      <w:r>
        <w:pict>
          <v:rect style="width:0;height:1.5pt" o:hralign="center" o:hrstd="t" o:hr="t"/>
        </w:pict>
      </w:r>
    </w:p>
    <w:bookmarkEnd w:id="10"/>
    <w:bookmarkStart w:id="11" w:name="Xdbd22931b11be72d4fadc5857962677a302580d"/>
    <w:p>
      <w:pPr>
        <w:pStyle w:val="Heading2"/>
      </w:pPr>
      <w:r>
        <w:t xml:space="preserve">The key issue: underlying underwriting is softer than the headline suggests</w:t>
      </w:r>
    </w:p>
    <w:p>
      <w:pPr>
        <w:pStyle w:val="FirstParagraph"/>
      </w:pPr>
      <w:r>
        <w:t xml:space="preserve">PGR’s reported combined ratio benefited from</w:t>
      </w:r>
      <w:r>
        <w:t xml:space="preserve"> </w:t>
      </w:r>
      <w:r>
        <w:rPr>
          <w:b/>
          <w:bCs/>
        </w:rPr>
        <w:t xml:space="preserve">$551 million of favorable prior-year reserve development</w:t>
      </w:r>
      <w:r>
        <w:t xml:space="preserve">, equal to</w:t>
      </w:r>
      <w:r>
        <w:t xml:space="preserve"> </w:t>
      </w:r>
      <w:r>
        <w:rPr>
          <w:b/>
          <w:bCs/>
        </w:rPr>
        <w:t xml:space="preserve">2.6 points</w:t>
      </w:r>
      <w:r>
        <w:t xml:space="preserve"> </w:t>
      </w:r>
      <w:r>
        <w:t xml:space="preserve">of the quarterly combined ratio. That compares with $329 million, or 1.6 points, a year earlier.</w:t>
      </w:r>
    </w:p>
    <w:p>
      <w:pPr>
        <w:pStyle w:val="BodyText"/>
      </w:pPr>
      <w:r>
        <w:t xml:space="preserve">As a result:</w:t>
      </w:r>
    </w:p>
    <w:p>
      <w:pPr>
        <w:pStyle w:val="Compact"/>
        <w:numPr>
          <w:ilvl w:val="0"/>
          <w:numId w:val="1002"/>
        </w:numPr>
      </w:pPr>
      <w:r>
        <w:t xml:space="preserve">Reported combined ratio:</w:t>
      </w:r>
      <w:r>
        <w:t xml:space="preserve"> </w:t>
      </w:r>
      <w:r>
        <w:rPr>
          <w:b/>
          <w:bCs/>
        </w:rPr>
        <w:t xml:space="preserve">87.3</w:t>
      </w:r>
    </w:p>
    <w:p>
      <w:pPr>
        <w:pStyle w:val="Compact"/>
        <w:numPr>
          <w:ilvl w:val="0"/>
          <w:numId w:val="1002"/>
        </w:numPr>
      </w:pPr>
      <w:r>
        <w:t xml:space="preserve">Less favorable-development benefit: underlying calendar-year ratio was approximately</w:t>
      </w:r>
      <w:r>
        <w:t xml:space="preserve"> </w:t>
      </w:r>
      <w:r>
        <w:rPr>
          <w:b/>
          <w:bCs/>
        </w:rPr>
        <w:t xml:space="preserve">89.9</w:t>
      </w:r>
    </w:p>
    <w:p>
      <w:pPr>
        <w:pStyle w:val="Compact"/>
        <w:numPr>
          <w:ilvl w:val="0"/>
          <w:numId w:val="1002"/>
        </w:numPr>
      </w:pPr>
      <w:r>
        <w:t xml:space="preserve">Prior-year equivalent: approximately</w:t>
      </w:r>
      <w:r>
        <w:t xml:space="preserve"> </w:t>
      </w:r>
      <w:r>
        <w:rPr>
          <w:b/>
          <w:bCs/>
        </w:rPr>
        <w:t xml:space="preserve">87.8</w:t>
      </w:r>
    </w:p>
    <w:p>
      <w:pPr>
        <w:pStyle w:val="FirstParagraph"/>
      </w:pPr>
      <w:r>
        <w:t xml:space="preserve">That implies roughly a</w:t>
      </w:r>
      <w:r>
        <w:t xml:space="preserve"> </w:t>
      </w:r>
      <w:r>
        <w:rPr>
          <w:b/>
          <w:bCs/>
        </w:rPr>
        <w:t xml:space="preserve">2-point deterioration in the underlying ratio</w:t>
      </w:r>
      <w:r>
        <w:t xml:space="preserve"> </w:t>
      </w:r>
      <w:r>
        <w:t xml:space="preserve">year over year.</w:t>
      </w:r>
    </w:p>
    <w:p>
      <w:pPr>
        <w:pStyle w:val="BodyText"/>
      </w:pPr>
      <w:r>
        <w:t xml:space="preserve">The drivers were straightforward:</w:t>
      </w:r>
    </w:p>
    <w:p>
      <w:pPr>
        <w:pStyle w:val="Compact"/>
        <w:numPr>
          <w:ilvl w:val="0"/>
          <w:numId w:val="1003"/>
        </w:numPr>
      </w:pPr>
      <w:r>
        <w:rPr>
          <w:b/>
          <w:bCs/>
        </w:rPr>
        <w:t xml:space="preserve">Personal-auto severity increased 4%</w:t>
      </w:r>
      <w:r>
        <w:t xml:space="preserve">, led by a</w:t>
      </w:r>
      <w:r>
        <w:t xml:space="preserve"> </w:t>
      </w:r>
      <w:r>
        <w:rPr>
          <w:b/>
          <w:bCs/>
        </w:rPr>
        <w:t xml:space="preserve">7% increase in bodily-injury severity</w:t>
      </w:r>
      <w:r>
        <w:t xml:space="preserve">.</w:t>
      </w:r>
    </w:p>
    <w:p>
      <w:pPr>
        <w:pStyle w:val="Compact"/>
        <w:numPr>
          <w:ilvl w:val="0"/>
          <w:numId w:val="1003"/>
        </w:numPr>
      </w:pPr>
      <w:r>
        <w:rPr>
          <w:b/>
          <w:bCs/>
        </w:rPr>
        <w:t xml:space="preserve">Advertising expense rose 16%</w:t>
      </w:r>
      <w:r>
        <w:t xml:space="preserve"> </w:t>
      </w:r>
      <w:r>
        <w:t xml:space="preserve">to</w:t>
      </w:r>
      <w:r>
        <w:t xml:space="preserve"> </w:t>
      </w:r>
      <w:r>
        <w:rPr>
          <w:b/>
          <w:bCs/>
        </w:rPr>
        <w:t xml:space="preserve">$1.4 billion</w:t>
      </w:r>
      <w:r>
        <w:t xml:space="preserve">, adding approximately</w:t>
      </w:r>
      <w:r>
        <w:t xml:space="preserve"> </w:t>
      </w:r>
      <w:r>
        <w:rPr>
          <w:b/>
          <w:bCs/>
        </w:rPr>
        <w:t xml:space="preserve">0.5 points</w:t>
      </w:r>
      <w:r>
        <w:t xml:space="preserve"> </w:t>
      </w:r>
      <w:r>
        <w:t xml:space="preserve">to the underwriting expense ratio.</w:t>
      </w:r>
    </w:p>
    <w:p>
      <w:pPr>
        <w:pStyle w:val="Compact"/>
        <w:numPr>
          <w:ilvl w:val="0"/>
          <w:numId w:val="1003"/>
        </w:numPr>
      </w:pPr>
      <w:r>
        <w:t xml:space="preserve">Catastrophe losses remained elevated at</w:t>
      </w:r>
      <w:r>
        <w:t xml:space="preserve"> </w:t>
      </w:r>
      <w:r>
        <w:rPr>
          <w:b/>
          <w:bCs/>
        </w:rPr>
        <w:t xml:space="preserve">3.6 points</w:t>
      </w:r>
      <w:r>
        <w:t xml:space="preserve">, modestly above 3.5 points in 2Q25.</w:t>
      </w:r>
    </w:p>
    <w:p>
      <w:pPr>
        <w:pStyle w:val="FirstParagraph"/>
      </w:pPr>
      <w:r>
        <w:t xml:space="preserve">The offset was favorable reserve development, especially in personal auto. Management attributed the favorable development largely to lower-than-anticipated bodily-injury severity on prior accident years—an outcome that sits somewhat awkwardly beside the current-period increase in bodily-injury severity. Investors should press management on whether current severity trends have stabilized, improved during July, or remain above pricing assumptions.</w:t>
      </w:r>
    </w:p>
    <w:p>
      <w:r>
        <w:pict>
          <v:rect style="width:0;height:1.5pt" o:hralign="center" o:hrstd="t" o:hr="t"/>
        </w:pict>
      </w:r>
    </w:p>
    <w:bookmarkEnd w:id="11"/>
    <w:bookmarkStart w:id="14" w:name="growth-remains-the-bright-spot"/>
    <w:p>
      <w:pPr>
        <w:pStyle w:val="Heading2"/>
      </w:pPr>
      <w:r>
        <w:t xml:space="preserve">Growth remains the bright spot</w:t>
      </w:r>
    </w:p>
    <w:p>
      <w:pPr>
        <w:pStyle w:val="FirstParagraph"/>
      </w:pPr>
      <w:r>
        <w:t xml:space="preserve">PGR ended June with more than</w:t>
      </w:r>
      <w:r>
        <w:t xml:space="preserve"> </w:t>
      </w:r>
      <w:r>
        <w:rPr>
          <w:b/>
          <w:bCs/>
        </w:rPr>
        <w:t xml:space="preserve">40 million policies in force</w:t>
      </w:r>
      <w:r>
        <w:t xml:space="preserve">, up 7% year over year. That is a meaningful milestone and reinforces the strength of Progressive’s distribution, brand, and direct-to-consumer model.</w:t>
      </w:r>
    </w:p>
    <w:bookmarkStart w:id="12" w:name="Xbca7b37e0361d311018acbbdad7e74d83bcf8c4"/>
    <w:p>
      <w:pPr>
        <w:pStyle w:val="Heading3"/>
      </w:pPr>
      <w:r>
        <w:t xml:space="preserve">Personal auto: Direct remains the growth engine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Personal Lines metric</w:t>
            </w:r>
          </w:p>
        </w:tc>
        <w:tc>
          <w:tcPr/>
          <w:p>
            <w:pPr>
              <w:pStyle w:val="Compact"/>
              <w:jc w:val="right"/>
            </w:pPr>
            <w:r>
              <w:t xml:space="preserve">2Q26 YoY growth</w:t>
            </w:r>
          </w:p>
        </w:tc>
      </w:tr>
      <w:tr>
        <w:tc>
          <w:tcPr/>
          <w:p>
            <w:pPr>
              <w:pStyle w:val="Compact"/>
            </w:pPr>
            <w:r>
              <w:t xml:space="preserve">Agency auto NPW</w:t>
            </w:r>
          </w:p>
        </w:tc>
        <w:tc>
          <w:tcPr/>
          <w:p>
            <w:pPr>
              <w:pStyle w:val="Compact"/>
              <w:jc w:val="right"/>
            </w:pPr>
            <w:r>
              <w:t xml:space="preserve">+2%</w:t>
            </w:r>
          </w:p>
        </w:tc>
      </w:tr>
      <w:tr>
        <w:tc>
          <w:tcPr/>
          <w:p>
            <w:pPr>
              <w:pStyle w:val="Compact"/>
            </w:pPr>
            <w:r>
              <w:t xml:space="preserve">Direct auto NPW</w:t>
            </w:r>
          </w:p>
        </w:tc>
        <w:tc>
          <w:tcPr/>
          <w:p>
            <w:pPr>
              <w:pStyle w:val="Compact"/>
              <w:jc w:val="right"/>
            </w:pPr>
            <w:r>
              <w:t xml:space="preserve">+8%</w:t>
            </w:r>
          </w:p>
        </w:tc>
      </w:tr>
      <w:tr>
        <w:tc>
          <w:tcPr/>
          <w:p>
            <w:pPr>
              <w:pStyle w:val="Compact"/>
            </w:pPr>
            <w:r>
              <w:t xml:space="preserve">Personal auto policies in force</w:t>
            </w:r>
          </w:p>
        </w:tc>
        <w:tc>
          <w:tcPr/>
          <w:p>
            <w:pPr>
              <w:pStyle w:val="Compact"/>
              <w:jc w:val="right"/>
            </w:pPr>
            <w:r>
              <w:t xml:space="preserve">+9%</w:t>
            </w:r>
          </w:p>
        </w:tc>
      </w:tr>
      <w:tr>
        <w:tc>
          <w:tcPr/>
          <w:p>
            <w:pPr>
              <w:pStyle w:val="Compact"/>
            </w:pPr>
            <w:r>
              <w:t xml:space="preserve">Total Personal Lines policies in force</w:t>
            </w:r>
          </w:p>
        </w:tc>
        <w:tc>
          <w:tcPr/>
          <w:p>
            <w:pPr>
              <w:pStyle w:val="Compact"/>
              <w:jc w:val="right"/>
            </w:pPr>
            <w:r>
              <w:t xml:space="preserve">+8%</w:t>
            </w:r>
          </w:p>
        </w:tc>
      </w:tr>
    </w:tbl>
    <w:p>
      <w:pPr>
        <w:pStyle w:val="BodyText"/>
      </w:pPr>
      <w:r>
        <w:t xml:space="preserve">Direct continues to outgrow agency, with direct net premiums written up 8% versus 2% for agency auto. Both channels generated positive new-business application growth, but quote volumes declined—down 7% in direct and 1% in agency—while conversion improved. That suggests PGR remains competitive when consumers shop, but the pool of shoppers may be moderating after the industry’s extended period of price increases.</w:t>
      </w:r>
    </w:p>
    <w:bookmarkEnd w:id="12"/>
    <w:bookmarkStart w:id="13" w:name="Xc821e8be50e977f24cd50cf900fc7d9f676c2bd"/>
    <w:p>
      <w:pPr>
        <w:pStyle w:val="Heading3"/>
      </w:pPr>
      <w:r>
        <w:t xml:space="preserve">Retention is the more concerning growth statistic</w:t>
      </w:r>
    </w:p>
    <w:p>
      <w:pPr>
        <w:pStyle w:val="FirstParagraph"/>
      </w:pPr>
      <w:r>
        <w:t xml:space="preserve">Despite policy growth, personal-auto policy life expectancy weakened:</w:t>
      </w:r>
    </w:p>
    <w:p>
      <w:pPr>
        <w:pStyle w:val="Compact"/>
        <w:numPr>
          <w:ilvl w:val="0"/>
          <w:numId w:val="1004"/>
        </w:numPr>
      </w:pPr>
      <w:r>
        <w:rPr>
          <w:b/>
          <w:bCs/>
        </w:rPr>
        <w:t xml:space="preserve">Trailing 12-month personal-auto policy life expectancy:</w:t>
      </w:r>
      <w:r>
        <w:t xml:space="preserve"> </w:t>
      </w:r>
      <w:r>
        <w:t xml:space="preserve">down</w:t>
      </w:r>
      <w:r>
        <w:t xml:space="preserve"> </w:t>
      </w:r>
      <w:r>
        <w:rPr>
          <w:b/>
          <w:bCs/>
        </w:rPr>
        <w:t xml:space="preserve">8%</w:t>
      </w:r>
    </w:p>
    <w:p>
      <w:pPr>
        <w:pStyle w:val="Compact"/>
        <w:numPr>
          <w:ilvl w:val="0"/>
          <w:numId w:val="1004"/>
        </w:numPr>
      </w:pPr>
      <w:r>
        <w:rPr>
          <w:b/>
          <w:bCs/>
        </w:rPr>
        <w:t xml:space="preserve">Agency:</w:t>
      </w:r>
      <w:r>
        <w:t xml:space="preserve"> </w:t>
      </w:r>
      <w:r>
        <w:t xml:space="preserve">down 6%</w:t>
      </w:r>
    </w:p>
    <w:p>
      <w:pPr>
        <w:pStyle w:val="Compact"/>
        <w:numPr>
          <w:ilvl w:val="0"/>
          <w:numId w:val="1004"/>
        </w:numPr>
      </w:pPr>
      <w:r>
        <w:rPr>
          <w:b/>
          <w:bCs/>
        </w:rPr>
        <w:t xml:space="preserve">Direct:</w:t>
      </w:r>
      <w:r>
        <w:t xml:space="preserve"> </w:t>
      </w:r>
      <w:r>
        <w:t xml:space="preserve">down 9%</w:t>
      </w:r>
    </w:p>
    <w:p>
      <w:pPr>
        <w:pStyle w:val="Compact"/>
        <w:numPr>
          <w:ilvl w:val="0"/>
          <w:numId w:val="1004"/>
        </w:numPr>
      </w:pPr>
      <w:r>
        <w:rPr>
          <w:b/>
          <w:bCs/>
        </w:rPr>
        <w:t xml:space="preserve">Personal property:</w:t>
      </w:r>
      <w:r>
        <w:t xml:space="preserve"> </w:t>
      </w:r>
      <w:r>
        <w:t xml:space="preserve">down 8%</w:t>
      </w:r>
    </w:p>
    <w:p>
      <w:pPr>
        <w:pStyle w:val="FirstParagraph"/>
      </w:pPr>
      <w:r>
        <w:t xml:space="preserve">Management attributes the decline to a more competitive market, greater customer shopping, billing-plan changes, and mix. This matters because a lower retention profile raises the cost of sustaining growth and could ultimately make elevated advertising spend less productive.</w:t>
      </w:r>
    </w:p>
    <w:p>
      <w:r>
        <w:pict>
          <v:rect style="width:0;height:1.5pt" o:hralign="center" o:hrstd="t" o:hr="t"/>
        </w:pict>
      </w:r>
    </w:p>
    <w:bookmarkEnd w:id="13"/>
    <w:bookmarkEnd w:id="14"/>
    <w:bookmarkStart w:id="15" w:name="Xe7d334aaf6aa8f17f92714ba563e36e94b31a30"/>
    <w:p>
      <w:pPr>
        <w:pStyle w:val="Heading2"/>
      </w:pPr>
      <w:r>
        <w:t xml:space="preserve">Robinsons presentation: the strategic focal point</w:t>
      </w:r>
    </w:p>
    <w:p>
      <w:pPr>
        <w:pStyle w:val="FirstParagraph"/>
      </w:pPr>
      <w:r>
        <w:t xml:space="preserve">The investor call’s featured topic—</w:t>
      </w:r>
      <w:r>
        <w:rPr>
          <w:b/>
          <w:bCs/>
        </w:rPr>
        <w:t xml:space="preserve">Robinsons</w:t>
      </w:r>
      <w:r>
        <w:t xml:space="preserve">, PGR’s homeowners who bundle auto and home—is likely more important than the usual quarterly Q&amp;A.</w:t>
      </w:r>
    </w:p>
    <w:p>
      <w:pPr>
        <w:pStyle w:val="BodyText"/>
      </w:pPr>
      <w:r>
        <w:t xml:space="preserve">This segment matters because bundled households should, in theory, offer:</w:t>
      </w:r>
    </w:p>
    <w:p>
      <w:pPr>
        <w:pStyle w:val="Compact"/>
        <w:numPr>
          <w:ilvl w:val="0"/>
          <w:numId w:val="1005"/>
        </w:numPr>
      </w:pPr>
      <w:r>
        <w:t xml:space="preserve">Higher retention and longer customer lifetime value;</w:t>
      </w:r>
    </w:p>
    <w:p>
      <w:pPr>
        <w:pStyle w:val="Compact"/>
        <w:numPr>
          <w:ilvl w:val="0"/>
          <w:numId w:val="1005"/>
        </w:numPr>
      </w:pPr>
      <w:r>
        <w:t xml:space="preserve">More cross-sell opportunity;</w:t>
      </w:r>
    </w:p>
    <w:p>
      <w:pPr>
        <w:pStyle w:val="Compact"/>
        <w:numPr>
          <w:ilvl w:val="0"/>
          <w:numId w:val="1005"/>
        </w:numPr>
      </w:pPr>
      <w:r>
        <w:t xml:space="preserve">Better economics than single-product relationships;</w:t>
      </w:r>
    </w:p>
    <w:p>
      <w:pPr>
        <w:pStyle w:val="Compact"/>
        <w:numPr>
          <w:ilvl w:val="0"/>
          <w:numId w:val="1005"/>
        </w:numPr>
      </w:pPr>
      <w:r>
        <w:t xml:space="preserve">A path to growth in personal property without simply maximizing exposure in catastrophe-prone markets.</w:t>
      </w:r>
    </w:p>
    <w:p>
      <w:pPr>
        <w:pStyle w:val="FirstParagraph"/>
      </w:pPr>
      <w:r>
        <w:t xml:space="preserve">But PGR’s property strategy remains selective. Property policies in force grew only</w:t>
      </w:r>
      <w:r>
        <w:t xml:space="preserve"> </w:t>
      </w:r>
      <w:r>
        <w:rPr>
          <w:b/>
          <w:bCs/>
        </w:rPr>
        <w:t xml:space="preserve">1%</w:t>
      </w:r>
      <w:r>
        <w:t xml:space="preserve">, while the company continues to limit exposure in volatile weather markets and has shifted mix toward renters policies. That mix shift helped reduce average written premium per policy, even as PGR continued to take targeted property-rate increases.</w:t>
      </w:r>
    </w:p>
    <w:p>
      <w:pPr>
        <w:pStyle w:val="BodyText"/>
      </w:pPr>
      <w:r>
        <w:rPr>
          <w:b/>
          <w:bCs/>
        </w:rPr>
        <w:t xml:space="preserve">What investors should listen for:</w:t>
      </w:r>
      <w:r>
        <w:t xml:space="preserve"> </w:t>
      </w:r>
      <w:r>
        <w:t xml:space="preserve">concrete evidence that the Robinsons strategy can improve retention and household profitability without reintroducing unacceptable coastal, wildfire, hail, or homeowners concentration risk.</w:t>
      </w:r>
    </w:p>
    <w:p>
      <w:r>
        <w:pict>
          <v:rect style="width:0;height:1.5pt" o:hralign="center" o:hrstd="t" o:hr="t"/>
        </w:pict>
      </w:r>
    </w:p>
    <w:bookmarkEnd w:id="15"/>
    <w:bookmarkStart w:id="18" w:name="segment-scorecard"/>
    <w:p>
      <w:pPr>
        <w:pStyle w:val="Heading2"/>
      </w:pPr>
      <w:r>
        <w:t xml:space="preserve">Segment scorecard</w:t>
      </w:r>
    </w:p>
    <w:bookmarkStart w:id="16" w:name="Xde4a23ecd0efb76928b1ec11d429226eeebbdd5"/>
    <w:p>
      <w:pPr>
        <w:pStyle w:val="Heading3"/>
      </w:pPr>
      <w:r>
        <w:t xml:space="preserve">Personal Lines: still excellent, but margins are down</w:t>
      </w:r>
    </w:p>
    <w:p>
      <w:pPr>
        <w:pStyle w:val="FirstParagraph"/>
      </w:pPr>
      <w:r>
        <w:t xml:space="preserve">Personal Lines generated a</w:t>
      </w:r>
      <w:r>
        <w:t xml:space="preserve"> </w:t>
      </w:r>
      <w:r>
        <w:rPr>
          <w:b/>
          <w:bCs/>
        </w:rPr>
        <w:t xml:space="preserve">87.6 combined ratio</w:t>
      </w:r>
      <w:r>
        <w:t xml:space="preserve">, versus 86.0 a year ago.</w:t>
      </w:r>
    </w:p>
    <w:p>
      <w:pPr>
        <w:pStyle w:val="Compact"/>
        <w:numPr>
          <w:ilvl w:val="0"/>
          <w:numId w:val="1006"/>
        </w:numPr>
      </w:pPr>
      <w:r>
        <w:t xml:space="preserve">Agency auto combined ratio:</w:t>
      </w:r>
      <w:r>
        <w:t xml:space="preserve"> </w:t>
      </w:r>
      <w:r>
        <w:rPr>
          <w:b/>
          <w:bCs/>
        </w:rPr>
        <w:t xml:space="preserve">86.4</w:t>
      </w:r>
      <w:r>
        <w:t xml:space="preserve"> </w:t>
      </w:r>
      <w:r>
        <w:t xml:space="preserve">vs. 84.4</w:t>
      </w:r>
    </w:p>
    <w:p>
      <w:pPr>
        <w:pStyle w:val="Compact"/>
        <w:numPr>
          <w:ilvl w:val="0"/>
          <w:numId w:val="1006"/>
        </w:numPr>
      </w:pPr>
      <w:r>
        <w:t xml:space="preserve">Direct auto combined ratio:</w:t>
      </w:r>
      <w:r>
        <w:t xml:space="preserve"> </w:t>
      </w:r>
      <w:r>
        <w:rPr>
          <w:b/>
          <w:bCs/>
        </w:rPr>
        <w:t xml:space="preserve">89.2</w:t>
      </w:r>
      <w:r>
        <w:t xml:space="preserve"> </w:t>
      </w:r>
      <w:r>
        <w:t xml:space="preserve">vs. 87.5</w:t>
      </w:r>
    </w:p>
    <w:p>
      <w:pPr>
        <w:pStyle w:val="Compact"/>
        <w:numPr>
          <w:ilvl w:val="0"/>
          <w:numId w:val="1006"/>
        </w:numPr>
      </w:pPr>
      <w:r>
        <w:t xml:space="preserve">Property combined ratio:</w:t>
      </w:r>
      <w:r>
        <w:t xml:space="preserve"> </w:t>
      </w:r>
      <w:r>
        <w:rPr>
          <w:b/>
          <w:bCs/>
        </w:rPr>
        <w:t xml:space="preserve">78.0</w:t>
      </w:r>
      <w:r>
        <w:t xml:space="preserve"> </w:t>
      </w:r>
      <w:r>
        <w:t xml:space="preserve">vs. 83.6</w:t>
      </w:r>
    </w:p>
    <w:p>
      <w:pPr>
        <w:pStyle w:val="FirstParagraph"/>
      </w:pPr>
      <w:r>
        <w:t xml:space="preserve">Property was the standout, driven by low catastrophe losses, favorable frequency, and earned rate. But a</w:t>
      </w:r>
      <w:r>
        <w:t xml:space="preserve"> </w:t>
      </w:r>
      <w:r>
        <w:rPr>
          <w:b/>
          <w:bCs/>
        </w:rPr>
        <w:t xml:space="preserve">78 combined ratio</w:t>
      </w:r>
      <w:r>
        <w:t xml:space="preserve"> </w:t>
      </w:r>
      <w:r>
        <w:t xml:space="preserve">in property is unlikely to be a sustainable baseline, particularly given weather volatility. Conversely, auto margins remain robust but have moved lower as severity and acquisition costs rise.</w:t>
      </w:r>
    </w:p>
    <w:bookmarkEnd w:id="16"/>
    <w:bookmarkStart w:id="17" w:name="X7a0aa3e9ce591b74818b0a41ff75dbb728dbf7a"/>
    <w:p>
      <w:pPr>
        <w:pStyle w:val="Heading3"/>
      </w:pPr>
      <w:r>
        <w:t xml:space="preserve">Commercial Lines: an underappreciated source of strength</w:t>
      </w:r>
    </w:p>
    <w:p>
      <w:pPr>
        <w:pStyle w:val="FirstParagraph"/>
      </w:pPr>
      <w:r>
        <w:t xml:space="preserve">Commercial Lines produced an</w:t>
      </w:r>
      <w:r>
        <w:t xml:space="preserve"> </w:t>
      </w:r>
      <w:r>
        <w:rPr>
          <w:b/>
          <w:bCs/>
        </w:rPr>
        <w:t xml:space="preserve">85.3 combined ratio</w:t>
      </w:r>
      <w:r>
        <w:t xml:space="preserve">, improving from 86.8 in 2Q25.</w:t>
      </w:r>
    </w:p>
    <w:p>
      <w:pPr>
        <w:pStyle w:val="BodyText"/>
      </w:pPr>
      <w:r>
        <w:t xml:space="preserve">The improvement came despite higher acquisition and operating expense, helped by lower loss costs and favorable development. Commercial growth was more modest—net premiums written rose 4% and policies in force rose 3%—but the segment’s profitability provides an important cushion if personal auto continues to normalize.</w:t>
      </w:r>
    </w:p>
    <w:p>
      <w:pPr>
        <w:pStyle w:val="BodyText"/>
      </w:pPr>
      <w:r>
        <w:t xml:space="preserve">A watch item is core commercial-auto severity, which was up</w:t>
      </w:r>
      <w:r>
        <w:t xml:space="preserve"> </w:t>
      </w:r>
      <w:r>
        <w:rPr>
          <w:b/>
          <w:bCs/>
        </w:rPr>
        <w:t xml:space="preserve">5%</w:t>
      </w:r>
      <w:r>
        <w:t xml:space="preserve"> </w:t>
      </w:r>
      <w:r>
        <w:t xml:space="preserve">on a trailing-12-month basis. Progressive noted higher injury severity and litigation defense costs in its core commercial-auto portfolio, partly offset by favorable experience in transportation-network-company business.</w:t>
      </w:r>
    </w:p>
    <w:p>
      <w:r>
        <w:pict>
          <v:rect style="width:0;height:1.5pt" o:hralign="center" o:hrstd="t" o:hr="t"/>
        </w:pict>
      </w:r>
    </w:p>
    <w:bookmarkEnd w:id="17"/>
    <w:bookmarkEnd w:id="18"/>
    <w:bookmarkStart w:id="19" w:name="capital-investments-and-earnings-quality"/>
    <w:p>
      <w:pPr>
        <w:pStyle w:val="Heading2"/>
      </w:pPr>
      <w:r>
        <w:t xml:space="preserve">Capital, investments, and earnings quality</w:t>
      </w:r>
    </w:p>
    <w:p>
      <w:pPr>
        <w:pStyle w:val="FirstParagraph"/>
      </w:pPr>
      <w:r>
        <w:t xml:space="preserve">Investment income remains a significant tailwind:</w:t>
      </w:r>
    </w:p>
    <w:p>
      <w:pPr>
        <w:pStyle w:val="Compact"/>
        <w:numPr>
          <w:ilvl w:val="0"/>
          <w:numId w:val="1007"/>
        </w:numPr>
      </w:pPr>
      <w:r>
        <w:t xml:space="preserve">Net investment income rose to</w:t>
      </w:r>
      <w:r>
        <w:t xml:space="preserve"> </w:t>
      </w:r>
      <w:r>
        <w:rPr>
          <w:b/>
          <w:bCs/>
        </w:rPr>
        <w:t xml:space="preserve">$969 million</w:t>
      </w:r>
      <w:r>
        <w:t xml:space="preserve"> </w:t>
      </w:r>
      <w:r>
        <w:t xml:space="preserve">from $862 million.</w:t>
      </w:r>
    </w:p>
    <w:p>
      <w:pPr>
        <w:pStyle w:val="Compact"/>
        <w:numPr>
          <w:ilvl w:val="0"/>
          <w:numId w:val="1007"/>
        </w:numPr>
      </w:pPr>
      <w:r>
        <w:t xml:space="preserve">Pretax recurring investment book yield held at</w:t>
      </w:r>
      <w:r>
        <w:t xml:space="preserve"> </w:t>
      </w:r>
      <w:r>
        <w:rPr>
          <w:b/>
          <w:bCs/>
        </w:rPr>
        <w:t xml:space="preserve">4.2%</w:t>
      </w:r>
      <w:r>
        <w:t xml:space="preserve">.</w:t>
      </w:r>
    </w:p>
    <w:p>
      <w:pPr>
        <w:pStyle w:val="Compact"/>
        <w:numPr>
          <w:ilvl w:val="0"/>
          <w:numId w:val="1007"/>
        </w:numPr>
      </w:pPr>
      <w:r>
        <w:t xml:space="preserve">PGR reported</w:t>
      </w:r>
      <w:r>
        <w:t xml:space="preserve"> </w:t>
      </w:r>
      <w:r>
        <w:rPr>
          <w:b/>
          <w:bCs/>
        </w:rPr>
        <w:t xml:space="preserve">$604 million of net realized gains</w:t>
      </w:r>
      <w:r>
        <w:t xml:space="preserve"> </w:t>
      </w:r>
      <w:r>
        <w:t xml:space="preserve">in 2Q, including substantial mark-to-market gains in equities.</w:t>
      </w:r>
    </w:p>
    <w:p>
      <w:pPr>
        <w:pStyle w:val="FirstParagraph"/>
      </w:pPr>
      <w:r>
        <w:t xml:space="preserve">This creates an earnings-quality distinction: investment income is a recurring support to earnings, while realized/holding-period gains are more market-sensitive. Investors should focus more on underwriting margins and recurring investment income than the headline EPS number.</w:t>
      </w:r>
    </w:p>
    <w:p>
      <w:pPr>
        <w:pStyle w:val="BodyText"/>
      </w:pPr>
      <w:r>
        <w:t xml:space="preserve">Capital remains strong:</w:t>
      </w:r>
    </w:p>
    <w:p>
      <w:pPr>
        <w:pStyle w:val="Compact"/>
        <w:numPr>
          <w:ilvl w:val="0"/>
          <w:numId w:val="1008"/>
        </w:numPr>
      </w:pPr>
      <w:r>
        <w:t xml:space="preserve">Shareholders’ equity:</w:t>
      </w:r>
      <w:r>
        <w:t xml:space="preserve"> </w:t>
      </w:r>
      <w:r>
        <w:rPr>
          <w:b/>
          <w:bCs/>
        </w:rPr>
        <w:t xml:space="preserve">$34.3 billion</w:t>
      </w:r>
    </w:p>
    <w:p>
      <w:pPr>
        <w:pStyle w:val="Compact"/>
        <w:numPr>
          <w:ilvl w:val="0"/>
          <w:numId w:val="1008"/>
        </w:numPr>
      </w:pPr>
      <w:r>
        <w:t xml:space="preserve">Debt-to-total-capital ratio:</w:t>
      </w:r>
      <w:r>
        <w:t xml:space="preserve"> </w:t>
      </w:r>
      <w:r>
        <w:rPr>
          <w:b/>
          <w:bCs/>
        </w:rPr>
        <w:t xml:space="preserve">19.6%</w:t>
      </w:r>
      <w:r>
        <w:t xml:space="preserve">, below the company’s stated sub-30% policy</w:t>
      </w:r>
    </w:p>
    <w:p>
      <w:pPr>
        <w:pStyle w:val="Compact"/>
        <w:numPr>
          <w:ilvl w:val="0"/>
          <w:numId w:val="1008"/>
        </w:numPr>
      </w:pPr>
      <w:r>
        <w:t xml:space="preserve">Estimated consolidated statutory surplus:</w:t>
      </w:r>
      <w:r>
        <w:t xml:space="preserve"> </w:t>
      </w:r>
      <w:r>
        <w:rPr>
          <w:b/>
          <w:bCs/>
        </w:rPr>
        <w:t xml:space="preserve">$32.9 billion</w:t>
      </w:r>
    </w:p>
    <w:p>
      <w:pPr>
        <w:pStyle w:val="Compact"/>
        <w:numPr>
          <w:ilvl w:val="0"/>
          <w:numId w:val="1008"/>
        </w:numPr>
      </w:pPr>
      <w:r>
        <w:t xml:space="preserve">Share repurchases in the first half:</w:t>
      </w:r>
      <w:r>
        <w:t xml:space="preserve"> </w:t>
      </w:r>
      <w:r>
        <w:rPr>
          <w:b/>
          <w:bCs/>
        </w:rPr>
        <w:t xml:space="preserve">$1.1 billion</w:t>
      </w:r>
    </w:p>
    <w:p>
      <w:pPr>
        <w:pStyle w:val="Compact"/>
        <w:numPr>
          <w:ilvl w:val="0"/>
          <w:numId w:val="1008"/>
        </w:numPr>
      </w:pPr>
      <w:r>
        <w:t xml:space="preserve">Annual variable dividend paid in January:</w:t>
      </w:r>
      <w:r>
        <w:t xml:space="preserve"> </w:t>
      </w:r>
      <w:r>
        <w:rPr>
          <w:b/>
          <w:bCs/>
        </w:rPr>
        <w:t xml:space="preserve">$7.9 billion</w:t>
      </w:r>
      <w:r>
        <w:t xml:space="preserve">, or $13.50 per share</w:t>
      </w:r>
    </w:p>
    <w:p>
      <w:pPr>
        <w:pStyle w:val="FirstParagraph"/>
      </w:pPr>
      <w:r>
        <w:t xml:space="preserve">PGR also issued</w:t>
      </w:r>
      <w:r>
        <w:t xml:space="preserve"> </w:t>
      </w:r>
      <w:r>
        <w:rPr>
          <w:b/>
          <w:bCs/>
        </w:rPr>
        <w:t xml:space="preserve">$1.5 billion</w:t>
      </w:r>
      <w:r>
        <w:t xml:space="preserve"> </w:t>
      </w:r>
      <w:r>
        <w:t xml:space="preserve">of senior notes in March. The balance sheet remains highly liquid, with $45.8 billion in short-term investments and U.S. Treasury securities at quarter-end.</w:t>
      </w:r>
    </w:p>
    <w:p>
      <w:r>
        <w:pict>
          <v:rect style="width:0;height:1.5pt" o:hralign="center" o:hrstd="t" o:hr="t"/>
        </w:pict>
      </w:r>
    </w:p>
    <w:bookmarkEnd w:id="19"/>
    <w:bookmarkStart w:id="25" w:name="what-matters-most-on-the-call"/>
    <w:p>
      <w:pPr>
        <w:pStyle w:val="Heading2"/>
      </w:pPr>
      <w:r>
        <w:t xml:space="preserve">What matters most on the call</w:t>
      </w:r>
    </w:p>
    <w:bookmarkStart w:id="20" w:name="Xd86a8541f573d253d8fc435da815865ac07b9b6"/>
    <w:p>
      <w:pPr>
        <w:pStyle w:val="Heading3"/>
      </w:pPr>
      <w:r>
        <w:t xml:space="preserve">1. Is personal-auto severity still running at a 4% pace?</w:t>
      </w:r>
    </w:p>
    <w:p>
      <w:pPr>
        <w:pStyle w:val="FirstParagraph"/>
      </w:pPr>
      <w:r>
        <w:t xml:space="preserve">The single most important operating question is whether bodily-injury severity, medical inflation, attorney representation, and large-loss trends have changed since June. PGR stated that it believes pricing is adequate in most states through year-end; investors will want the evidence behind that confidence.</w:t>
      </w:r>
    </w:p>
    <w:bookmarkEnd w:id="20"/>
    <w:bookmarkStart w:id="21" w:name="Xa329f48ca574243d037717c5c69df1d88afabe1"/>
    <w:p>
      <w:pPr>
        <w:pStyle w:val="Heading3"/>
      </w:pPr>
      <w:r>
        <w:t xml:space="preserve">2. How much further can advertising rise?</w:t>
      </w:r>
    </w:p>
    <w:p>
      <w:pPr>
        <w:pStyle w:val="FirstParagraph"/>
      </w:pPr>
      <w:r>
        <w:t xml:space="preserve">Advertising increased 16% in the quarter and 18% year to date. That spend is defensible if it produces profitable policies at or below target acquisition cost. The key question is whether PGR sees marginal acquisition economics holding up as retention weakens and competition intensifies.</w:t>
      </w:r>
    </w:p>
    <w:bookmarkEnd w:id="21"/>
    <w:bookmarkStart w:id="22" w:name="X9e805fb9a9f2253a951eb57f5b587e618657920"/>
    <w:p>
      <w:pPr>
        <w:pStyle w:val="Heading3"/>
      </w:pPr>
      <w:r>
        <w:t xml:space="preserve">3. Can growth persist as rates decline?</w:t>
      </w:r>
    </w:p>
    <w:p>
      <w:pPr>
        <w:pStyle w:val="FirstParagraph"/>
      </w:pPr>
      <w:r>
        <w:t xml:space="preserve">PGR reduced personal-auto rates by less than 1% in aggregate during 2Q and indicated rates are broadly adequate. Investors should assess whether additional rate reductions are likely—and whether they will stimulate quote volume and new-business growth without damaging margins.</w:t>
      </w:r>
    </w:p>
    <w:bookmarkEnd w:id="22"/>
    <w:bookmarkStart w:id="23" w:name="Xf8c8e43cf1f00b007d6718075a9b8123a58df41"/>
    <w:p>
      <w:pPr>
        <w:pStyle w:val="Heading3"/>
      </w:pPr>
      <w:r>
        <w:t xml:space="preserve">4. Can Robinsons improve retention?</w:t>
      </w:r>
    </w:p>
    <w:p>
      <w:pPr>
        <w:pStyle w:val="FirstParagraph"/>
      </w:pPr>
      <w:r>
        <w:t xml:space="preserve">The company’s bundled-homeowner strategy should be evaluated with measurable KPIs: quote conversion, auto/home attachment rates, retention versus non-bundled customers, loss ratio, and profitability by geography.</w:t>
      </w:r>
    </w:p>
    <w:bookmarkEnd w:id="23"/>
    <w:bookmarkStart w:id="24" w:name="X348d402b60e3e3ef4ffe4e6c07c3ea25d68fb52"/>
    <w:p>
      <w:pPr>
        <w:pStyle w:val="Heading3"/>
      </w:pPr>
      <w:r>
        <w:t xml:space="preserve">5. How should investors think about reserve development?</w:t>
      </w:r>
    </w:p>
    <w:p>
      <w:pPr>
        <w:pStyle w:val="FirstParagraph"/>
      </w:pPr>
      <w:r>
        <w:t xml:space="preserve">Favorable reserve development added 2.6 points to the combined ratio. Management needs to explain whether this is primarily a catch-up benefit from conservatism in prior accident years or a recurring feature of the current reserve position.</w:t>
      </w:r>
    </w:p>
    <w:p>
      <w:r>
        <w:pict>
          <v:rect style="width:0;height:1.5pt" o:hralign="center" o:hrstd="t" o:hr="t"/>
        </w:pict>
      </w:r>
    </w:p>
    <w:bookmarkEnd w:id="24"/>
    <w:bookmarkEnd w:id="25"/>
    <w:bookmarkStart w:id="26" w:name="potential-catalysts"/>
    <w:p>
      <w:pPr>
        <w:pStyle w:val="Heading2"/>
      </w:pPr>
      <w:r>
        <w:t xml:space="preserve">Potential catalysts</w:t>
      </w:r>
    </w:p>
    <w:p>
      <w:pPr>
        <w:pStyle w:val="FirstParagraph"/>
      </w:pPr>
      <w:r>
        <w:rPr>
          <w:b/>
          <w:bCs/>
        </w:rPr>
        <w:t xml:space="preserve">Upside catalysts</w:t>
      </w:r>
    </w:p>
    <w:p>
      <w:pPr>
        <w:pStyle w:val="Compact"/>
        <w:numPr>
          <w:ilvl w:val="0"/>
          <w:numId w:val="1009"/>
        </w:numPr>
      </w:pPr>
      <w:r>
        <w:t xml:space="preserve">July data show moderating bodily-injury severity and stable or improving loss trends.</w:t>
      </w:r>
    </w:p>
    <w:p>
      <w:pPr>
        <w:pStyle w:val="Compact"/>
        <w:numPr>
          <w:ilvl w:val="0"/>
          <w:numId w:val="1009"/>
        </w:numPr>
      </w:pPr>
      <w:r>
        <w:t xml:space="preserve">Management demonstrates that advertising remains efficient and supports sustained high-single-digit policy growth.</w:t>
      </w:r>
    </w:p>
    <w:p>
      <w:pPr>
        <w:pStyle w:val="Compact"/>
        <w:numPr>
          <w:ilvl w:val="0"/>
          <w:numId w:val="1009"/>
        </w:numPr>
      </w:pPr>
      <w:r>
        <w:t xml:space="preserve">Robinsons bundling strategy produces tangible retention and profitability benefits.</w:t>
      </w:r>
    </w:p>
    <w:p>
      <w:pPr>
        <w:pStyle w:val="Compact"/>
        <w:numPr>
          <w:ilvl w:val="0"/>
          <w:numId w:val="1009"/>
        </w:numPr>
      </w:pPr>
      <w:r>
        <w:t xml:space="preserve">Personal-auto rate reductions improve quote volume without a material combined-ratio trade-off.</w:t>
      </w:r>
    </w:p>
    <w:p>
      <w:pPr>
        <w:pStyle w:val="Compact"/>
        <w:numPr>
          <w:ilvl w:val="0"/>
          <w:numId w:val="1009"/>
        </w:numPr>
      </w:pPr>
      <w:r>
        <w:t xml:space="preserve">Commercial Lines maintains mid-teens underwriting margins.</w:t>
      </w:r>
    </w:p>
    <w:p>
      <w:pPr>
        <w:pStyle w:val="FirstParagraph"/>
      </w:pPr>
      <w:r>
        <w:rPr>
          <w:b/>
          <w:bCs/>
        </w:rPr>
        <w:t xml:space="preserve">Downside risks</w:t>
      </w:r>
    </w:p>
    <w:p>
      <w:pPr>
        <w:pStyle w:val="Compact"/>
        <w:numPr>
          <w:ilvl w:val="0"/>
          <w:numId w:val="1010"/>
        </w:numPr>
      </w:pPr>
      <w:r>
        <w:t xml:space="preserve">Severity acceleration, especially bodily injury, medical inflation, and litigation costs.</w:t>
      </w:r>
    </w:p>
    <w:p>
      <w:pPr>
        <w:pStyle w:val="Compact"/>
        <w:numPr>
          <w:ilvl w:val="0"/>
          <w:numId w:val="1010"/>
        </w:numPr>
      </w:pPr>
      <w:r>
        <w:t xml:space="preserve">Further deterioration in personal-auto retention.</w:t>
      </w:r>
    </w:p>
    <w:p>
      <w:pPr>
        <w:pStyle w:val="Compact"/>
        <w:numPr>
          <w:ilvl w:val="0"/>
          <w:numId w:val="1010"/>
        </w:numPr>
      </w:pPr>
      <w:r>
        <w:t xml:space="preserve">Continued high advertising spend with weaker marginal conversion or lifetime-value economics.</w:t>
      </w:r>
    </w:p>
    <w:p>
      <w:pPr>
        <w:pStyle w:val="Compact"/>
        <w:numPr>
          <w:ilvl w:val="0"/>
          <w:numId w:val="1010"/>
        </w:numPr>
      </w:pPr>
      <w:r>
        <w:t xml:space="preserve">Normalization or reversal of favorable reserve development.</w:t>
      </w:r>
    </w:p>
    <w:p>
      <w:pPr>
        <w:pStyle w:val="Compact"/>
        <w:numPr>
          <w:ilvl w:val="0"/>
          <w:numId w:val="1010"/>
        </w:numPr>
      </w:pPr>
      <w:r>
        <w:t xml:space="preserve">Higher catastrophe activity or less favorable property-loss trends.</w:t>
      </w:r>
    </w:p>
    <w:p>
      <w:pPr>
        <w:pStyle w:val="Compact"/>
        <w:numPr>
          <w:ilvl w:val="0"/>
          <w:numId w:val="1010"/>
        </w:numPr>
      </w:pPr>
      <w:r>
        <w:t xml:space="preserve">More price competition as the industry shifts from rate hardening to volume growth.</w:t>
      </w:r>
    </w:p>
    <w:p>
      <w:r>
        <w:pict>
          <v:rect style="width:0;height:1.5pt" o:hralign="center" o:hrstd="t" o:hr="t"/>
        </w:pict>
      </w:r>
    </w:p>
    <w:bookmarkEnd w:id="26"/>
    <w:bookmarkStart w:id="27" w:name="investment-view-into-the-event"/>
    <w:p>
      <w:pPr>
        <w:pStyle w:val="Heading2"/>
      </w:pPr>
      <w:r>
        <w:t xml:space="preserve">Investment view into the event</w:t>
      </w:r>
    </w:p>
    <w:p>
      <w:pPr>
        <w:pStyle w:val="FirstParagraph"/>
      </w:pPr>
      <w:r>
        <w:t xml:space="preserve">PGR enters the call as a</w:t>
      </w:r>
      <w:r>
        <w:t xml:space="preserve"> </w:t>
      </w:r>
      <w:r>
        <w:rPr>
          <w:b/>
          <w:bCs/>
        </w:rPr>
        <w:t xml:space="preserve">high-quality insurer with strong growth, exceptional absolute profitability, and ample capital</w:t>
      </w:r>
      <w:r>
        <w:t xml:space="preserve">, but the market is now debating the slope of normalization rather than the resilience of the franchise.</w:t>
      </w:r>
    </w:p>
    <w:p>
      <w:pPr>
        <w:pStyle w:val="BodyText"/>
      </w:pPr>
      <w:r>
        <w:t xml:space="preserve">The July 15 share-price decline suggests investors reacted negatively to the deterioration in underlying profitability, even though headline EPS and policy growth were solid. To reverse that narrative, management likely needs to reinforce three messages:</w:t>
      </w:r>
    </w:p>
    <w:p>
      <w:pPr>
        <w:pStyle w:val="Compact"/>
        <w:numPr>
          <w:ilvl w:val="0"/>
          <w:numId w:val="1011"/>
        </w:numPr>
      </w:pPr>
      <w:r>
        <w:rPr>
          <w:b/>
          <w:bCs/>
        </w:rPr>
        <w:t xml:space="preserve">Current pricing remains adequate despite higher severity;</w:t>
      </w:r>
    </w:p>
    <w:p>
      <w:pPr>
        <w:pStyle w:val="Compact"/>
        <w:numPr>
          <w:ilvl w:val="0"/>
          <w:numId w:val="1011"/>
        </w:numPr>
      </w:pPr>
      <w:r>
        <w:rPr>
          <w:b/>
          <w:bCs/>
        </w:rPr>
        <w:t xml:space="preserve">Advertising is still generating attractive returns; and</w:t>
      </w:r>
    </w:p>
    <w:p>
      <w:pPr>
        <w:pStyle w:val="Compact"/>
        <w:numPr>
          <w:ilvl w:val="0"/>
          <w:numId w:val="1011"/>
        </w:numPr>
      </w:pPr>
      <w:r>
        <w:rPr>
          <w:b/>
          <w:bCs/>
        </w:rPr>
        <w:t xml:space="preserve">The Robinsons strategy can improve retention and lifetime value while preserving property-risk discipline.</w:t>
      </w:r>
    </w:p>
    <w:p>
      <w:pPr>
        <w:pStyle w:val="FirstParagraph"/>
      </w:pPr>
      <w:r>
        <w:t xml:space="preserve">The most constructive outcome would be evidence that the 2Q combined-ratio pressure represents a manageable investment in profitable growth—not the beginning of a more material underwriting-margin reset.</w:t>
      </w:r>
    </w:p>
    <w:bookmarkEnd w:id="27"/>
    <w:bookmarkEnd w:id="2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2026-08-04T01:23:21Z</dcterms:created>
  <dcterms:modified xsi:type="dcterms:W3CDTF">2026-08-04T01:23:21Z</dcterms:modified>
</cp:coreProperties>
</file>

<file path=docProps/custom.xml><?xml version="1.0" encoding="utf-8"?>
<Properties xmlns="http://schemas.openxmlformats.org/officeDocument/2006/custom-properties" xmlns:vt="http://schemas.openxmlformats.org/officeDocument/2006/docPropsVTypes"/>
</file>