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Progressive Corporation (PGR) — Q3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The Progressive Corporation</w:t>
            </w:r>
          </w:p>
        </w:tc>
      </w:tr>
      <w:tr>
        <w:tc>
          <w:tcPr>
            <w:tcW w:type="dxa" w:w="4320"/>
          </w:tcPr>
          <w:p>
            <w:r>
              <w:rPr>
                <w:rFonts w:ascii="Calibri" w:hAnsi="Calibri"/>
                <w:b/>
                <w:sz w:val="22"/>
              </w:rPr>
              <w:t>Ticker</w:t>
            </w:r>
          </w:p>
        </w:tc>
        <w:tc>
          <w:tcPr>
            <w:tcW w:type="dxa" w:w="4320"/>
          </w:tcPr>
          <w:p>
            <w:r>
              <w:rPr>
                <w:rFonts w:ascii="Calibri" w:hAnsi="Calibri"/>
                <w:sz w:val="22"/>
              </w:rPr>
              <w:t>PGR (NYSE)</w:t>
            </w:r>
          </w:p>
        </w:tc>
      </w:tr>
      <w:tr>
        <w:tc>
          <w:tcPr>
            <w:tcW w:type="dxa" w:w="4320"/>
          </w:tcPr>
          <w:p>
            <w:r>
              <w:rPr>
                <w:rFonts w:ascii="Calibri" w:hAnsi="Calibri"/>
                <w:b/>
                <w:sz w:val="22"/>
              </w:rPr>
              <w:t>Next Earnings Date (Est.)</w:t>
            </w:r>
          </w:p>
        </w:tc>
        <w:tc>
          <w:tcPr>
            <w:tcW w:type="dxa" w:w="4320"/>
          </w:tcPr>
          <w:p>
            <w:r>
              <w:rPr>
                <w:rFonts w:ascii="Calibri" w:hAnsi="Calibri"/>
                <w:sz w:val="22"/>
              </w:rPr>
              <w:t>~November 1, 2026 (Q3 2026, estimated)</w:t>
            </w:r>
          </w:p>
        </w:tc>
      </w:tr>
      <w:tr>
        <w:tc>
          <w:tcPr>
            <w:tcW w:type="dxa" w:w="4320"/>
          </w:tcPr>
          <w:p>
            <w:r>
              <w:rPr>
                <w:rFonts w:ascii="Calibri" w:hAnsi="Calibri"/>
                <w:b/>
                <w:sz w:val="22"/>
              </w:rPr>
              <w:t>Last Earnings Date</w:t>
            </w:r>
          </w:p>
        </w:tc>
        <w:tc>
          <w:tcPr>
            <w:tcW w:type="dxa" w:w="4320"/>
          </w:tcPr>
          <w:p>
            <w:r>
              <w:rPr>
                <w:rFonts w:ascii="Calibri" w:hAnsi="Calibri"/>
                <w:sz w:val="22"/>
              </w:rPr>
              <w:t>July 15, 2026 (Q2 2026)</w:t>
            </w:r>
          </w:p>
        </w:tc>
      </w:tr>
      <w:tr>
        <w:tc>
          <w:tcPr>
            <w:tcW w:type="dxa" w:w="4320"/>
          </w:tcPr>
          <w:p>
            <w:r>
              <w:rPr>
                <w:rFonts w:ascii="Calibri" w:hAnsi="Calibri"/>
                <w:b/>
                <w:sz w:val="22"/>
              </w:rPr>
              <w:t>Reporting Period</w:t>
            </w:r>
          </w:p>
        </w:tc>
        <w:tc>
          <w:tcPr>
            <w:tcW w:type="dxa" w:w="4320"/>
          </w:tcPr>
          <w:p>
            <w:r>
              <w:rPr>
                <w:rFonts w:ascii="Calibri" w:hAnsi="Calibri"/>
                <w:sz w:val="22"/>
              </w:rPr>
              <w:t>Q3 2026 (July 1 – September 30, 2026)</w:t>
            </w:r>
          </w:p>
        </w:tc>
      </w:tr>
      <w:tr>
        <w:tc>
          <w:tcPr>
            <w:tcW w:type="dxa" w:w="4320"/>
          </w:tcPr>
          <w:p>
            <w:r>
              <w:rPr>
                <w:rFonts w:ascii="Calibri" w:hAnsi="Calibri"/>
                <w:b/>
                <w:sz w:val="22"/>
              </w:rPr>
              <w:t>Prepared Date</w:t>
            </w:r>
          </w:p>
        </w:tc>
        <w:tc>
          <w:tcPr>
            <w:tcW w:type="dxa" w:w="4320"/>
          </w:tcPr>
          <w:p>
            <w:r>
              <w:rPr>
                <w:rFonts w:ascii="Calibri" w:hAnsi="Calibri"/>
                <w:sz w:val="22"/>
              </w:rPr>
              <w:t>August 3, 2026</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Q3 2026 is modestly constructive — consensus is not a high bar on combined ratio (91.9% expected vs. PGR’s recent track record well below 90%), but the real swing factor is whether </w:t>
      </w:r>
      <w:r>
        <w:rPr>
          <w:rFonts w:ascii="Calibri" w:hAnsi="Calibri"/>
          <w:b/>
          <w:color w:val="525866"/>
          <w:sz w:val="22"/>
        </w:rPr>
        <w:t>premium growth can re-accelerate</w:t>
      </w:r>
      <w:r>
        <w:rPr>
          <w:rFonts w:ascii="Calibri" w:hAnsi="Calibri"/>
          <w:color w:val="525866"/>
          <w:sz w:val="22"/>
        </w:rPr>
        <w:t xml:space="preserve"> after a sequential deceleration to +5% NPW growth in Q2, with the Robinson/property deep dive on August 4 serving as the most important near-term catalyst for sentiment.</w:t>
      </w:r>
    </w:p>
    <w:p>
      <w:r>
        <w:rPr>
          <w:rFonts w:ascii="Calibri" w:hAnsi="Calibri"/>
          <w:color w:val="525866"/>
          <w:sz w:val="22"/>
        </w:rPr>
        <w:t xml:space="preserve">Progressive heads into Q3 2026 from a position of structural strength but with the market watching for signs of growth re-acceleration after net premiums written decelerated to +5% YoY in Q2 2026 — the slowest pace in several quarters — against a backdrop of intensifying competition across personal auto. The combined ratio bar is manageable: consensus sits at 91.9% for Q3, well above PGR’s recent run-rate of sub-88%, suggesting meaningful room to beat on underwriting profitability even as the company laps tougher prior-year comparisons. Management’s tone on the Q1 2026 call was constructive — record media spend, expanding state footprint, and strong conversion — but explicitly flagged macro headwinds from fuel prices, tariffs, and geopolitical uncertainty as potential frequency and severity wildcards heading into the back half of the year. Estimate revisions have been broadly stable since the Q2 print, with Q3 2026 operating EPS consensus at $3.65 and FY 2026 at $17.59, leaving the stock trading at roughly 24x forward earnings — a meaningful de-rating from 2025 peaks that reflects growth normalization concerns rather than any deterioration in underwriting fundamentals. The single biggest wildcard is the </w:t>
      </w:r>
      <w:r>
        <w:rPr>
          <w:rFonts w:ascii="Calibri" w:hAnsi="Calibri"/>
          <w:b/>
          <w:color w:val="525866"/>
          <w:sz w:val="22"/>
        </w:rPr>
        <w:t>August 4 Robinson/property investor deep dive</w:t>
      </w:r>
      <w:r>
        <w:rPr>
          <w:rFonts w:ascii="Calibri" w:hAnsi="Calibri"/>
          <w:color w:val="525866"/>
          <w:sz w:val="22"/>
        </w:rPr>
        <w:t>: management has framed this $40–$50 billion top-line opportunity as the primary next growth frontier, and a compelling presentation could re-rate the stock’s long-term growth narrative even before Q3 results are reported.</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low bar on combined ratio (91.9% expected vs. PGR’s sub-88% recent run-rate), but </w:t>
      </w:r>
      <w:r>
        <w:rPr>
          <w:rFonts w:ascii="Calibri" w:hAnsi="Calibri"/>
          <w:b/>
          <w:color w:val="525866"/>
          <w:sz w:val="22"/>
        </w:rPr>
        <w:t>NPW growth is the bigger swing factor</w:t>
      </w:r>
      <w:r>
        <w:rPr>
          <w:rFonts w:ascii="Calibri" w:hAnsi="Calibri"/>
          <w:color w:val="525866"/>
          <w:sz w:val="22"/>
        </w:rPr>
        <w:t xml:space="preserve"> — the market needs to see whether the +5% Q2 pace was a trough or the start of a structural deceleration driven by competition and rate normalization.</w:t>
      </w:r>
    </w:p>
    <w:p>
      <w:pPr>
        <w:pStyle w:val="Heading3"/>
      </w:pPr>
      <w:r>
        <w:rPr>
          <w:rFonts w:ascii="Calibri" w:hAnsi="Calibri"/>
          <w:b/>
          <w:color w:val="3B4259"/>
          <w:sz w:val="24"/>
        </w:rPr>
        <w:t>Table 1 — Q3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(Q2 2026)</w:t>
            </w:r>
          </w:p>
        </w:tc>
        <w:tc>
          <w:tcPr>
            <w:tcW w:type="dxa" w:w="1234"/>
            <w:shd w:val="clear" w:color="auto" w:fill="3B4259"/>
          </w:tcPr>
          <w:p>
            <w:r>
              <w:rPr>
                <w:rFonts w:ascii="Calibri" w:hAnsi="Calibri"/>
                <w:b/>
                <w:color w:val="FFFFFF"/>
                <w:sz w:val="22"/>
              </w:rPr>
              <w:t>Prior Year Period (Q3 2025 Actual)</w:t>
            </w:r>
          </w:p>
        </w:tc>
        <w:tc>
          <w:tcPr>
            <w:tcW w:type="dxa" w:w="1234"/>
            <w:shd w:val="clear" w:color="auto" w:fill="3B4259"/>
          </w:tcPr>
          <w:p>
            <w:r>
              <w:rPr>
                <w:rFonts w:ascii="Calibri" w:hAnsi="Calibri"/>
                <w:b/>
                <w:color w:val="FFFFFF"/>
                <w:sz w:val="22"/>
              </w:rPr>
              <w:t>Q3 2026 Consensus Estimate</w:t>
            </w:r>
          </w:p>
        </w:tc>
        <w:tc>
          <w:tcPr>
            <w:tcW w:type="dxa" w:w="1234"/>
            <w:shd w:val="clear" w:color="auto" w:fill="3B4259"/>
          </w:tcPr>
          <w:p>
            <w:r>
              <w:rPr>
                <w:rFonts w:ascii="Calibri" w:hAnsi="Calibri"/>
                <w:b/>
                <w:color w:val="FFFFFF"/>
                <w:sz w:val="22"/>
              </w:rPr>
              <w:t>YoY Change (vs. Q3 2025)</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Net Premiums Written ($B)</w:t>
            </w:r>
          </w:p>
        </w:tc>
        <w:tc>
          <w:tcPr>
            <w:tcW w:type="dxa" w:w="1234"/>
          </w:tcPr>
          <w:p>
            <w:r>
              <w:rPr>
                <w:rFonts w:ascii="Calibri" w:hAnsi="Calibri"/>
                <w:sz w:val="22"/>
              </w:rPr>
              <w:t>$21.1B</w:t>
            </w:r>
          </w:p>
        </w:tc>
        <w:tc>
          <w:tcPr>
            <w:tcW w:type="dxa" w:w="1234"/>
          </w:tcPr>
          <w:p>
            <w:r>
              <w:rPr>
                <w:rFonts w:ascii="Calibri" w:hAnsi="Calibri"/>
                <w:sz w:val="22"/>
              </w:rPr>
              <w:t>$21.4B</w:t>
            </w:r>
          </w:p>
        </w:tc>
        <w:tc>
          <w:tcPr>
            <w:tcW w:type="dxa" w:w="1234"/>
          </w:tcPr>
          <w:p>
            <w:r>
              <w:rPr>
                <w:rFonts w:ascii="Calibri" w:hAnsi="Calibri"/>
                <w:sz w:val="22"/>
              </w:rPr>
              <w:t>$22.2B</w:t>
            </w:r>
          </w:p>
        </w:tc>
        <w:tc>
          <w:tcPr>
            <w:tcW w:type="dxa" w:w="1234"/>
          </w:tcPr>
          <w:p>
            <w:r>
              <w:rPr>
                <w:rFonts w:ascii="Calibri" w:hAnsi="Calibri"/>
                <w:sz w:val="22"/>
              </w:rPr>
              <w:t>+3.9% YoY</w:t>
            </w:r>
          </w:p>
        </w:tc>
        <w:tc>
          <w:tcPr>
            <w:tcW w:type="dxa" w:w="1234"/>
          </w:tcPr>
          <w:p>
            <w:r>
              <w:rPr>
                <w:rFonts w:ascii="Calibri" w:hAnsi="Calibri"/>
                <w:sz w:val="22"/>
              </w:rPr>
              <w:t>No specific Q3 guidance; grow as fast as possible at or below 96% CR</w:t>
            </w:r>
          </w:p>
        </w:tc>
        <w:tc>
          <w:tcPr>
            <w:tcW w:type="dxa" w:w="1234"/>
          </w:tcPr>
          <w:p>
            <w:r>
              <w:rPr>
                <w:rFonts w:ascii="Calibri" w:hAnsi="Calibri"/>
                <w:sz w:val="22"/>
              </w:rPr>
              <w:t>N/A — no numeric guidance</w:t>
            </w:r>
          </w:p>
        </w:tc>
      </w:tr>
      <w:tr>
        <w:tc>
          <w:tcPr>
            <w:tcW w:type="dxa" w:w="1234"/>
          </w:tcPr>
          <w:p>
            <w:r>
              <w:rPr>
                <w:rFonts w:ascii="Calibri" w:hAnsi="Calibri"/>
                <w:sz w:val="22"/>
              </w:rPr>
              <w:t>Combined Ratio — P&amp;C (%)</w:t>
            </w:r>
          </w:p>
        </w:tc>
        <w:tc>
          <w:tcPr>
            <w:tcW w:type="dxa" w:w="1234"/>
          </w:tcPr>
          <w:p>
            <w:r>
              <w:rPr>
                <w:rFonts w:ascii="Calibri" w:hAnsi="Calibri"/>
                <w:sz w:val="22"/>
              </w:rPr>
              <w:t>87.3%</w:t>
            </w:r>
          </w:p>
        </w:tc>
        <w:tc>
          <w:tcPr>
            <w:tcW w:type="dxa" w:w="1234"/>
          </w:tcPr>
          <w:p>
            <w:r>
              <w:rPr>
                <w:rFonts w:ascii="Calibri" w:hAnsi="Calibri"/>
                <w:sz w:val="22"/>
              </w:rPr>
              <w:t>89.5%</w:t>
            </w:r>
          </w:p>
        </w:tc>
        <w:tc>
          <w:tcPr>
            <w:tcW w:type="dxa" w:w="1234"/>
          </w:tcPr>
          <w:p>
            <w:r>
              <w:rPr>
                <w:rFonts w:ascii="Calibri" w:hAnsi="Calibri"/>
                <w:sz w:val="22"/>
              </w:rPr>
              <w:t>91.9%</w:t>
            </w:r>
          </w:p>
        </w:tc>
        <w:tc>
          <w:tcPr>
            <w:tcW w:type="dxa" w:w="1234"/>
          </w:tcPr>
          <w:p>
            <w:r>
              <w:rPr>
                <w:rFonts w:ascii="Calibri" w:hAnsi="Calibri"/>
                <w:sz w:val="22"/>
              </w:rPr>
              <w:t>+2.4 pts YoY</w:t>
            </w:r>
          </w:p>
        </w:tc>
        <w:tc>
          <w:tcPr>
            <w:tcW w:type="dxa" w:w="1234"/>
          </w:tcPr>
          <w:p>
            <w:r>
              <w:rPr>
                <w:rFonts w:ascii="Calibri" w:hAnsi="Calibri"/>
                <w:sz w:val="22"/>
              </w:rPr>
              <w:t>Target ≤96%; grow as fast as possible</w:t>
            </w:r>
          </w:p>
        </w:tc>
        <w:tc>
          <w:tcPr>
            <w:tcW w:type="dxa" w:w="1234"/>
          </w:tcPr>
          <w:p>
            <w:r>
              <w:rPr>
                <w:rFonts w:ascii="Calibri" w:hAnsi="Calibri"/>
                <w:sz w:val="22"/>
              </w:rPr>
              <w:t>~4 pts below target; low bar vs. recent actuals</w:t>
            </w:r>
          </w:p>
        </w:tc>
      </w:tr>
      <w:tr>
        <w:tc>
          <w:tcPr>
            <w:tcW w:type="dxa" w:w="1234"/>
          </w:tcPr>
          <w:p>
            <w:r>
              <w:rPr>
                <w:rFonts w:ascii="Calibri" w:hAnsi="Calibri"/>
                <w:sz w:val="22"/>
              </w:rPr>
              <w:t>EPS — Diluted Operating ($)</w:t>
            </w:r>
          </w:p>
        </w:tc>
        <w:tc>
          <w:tcPr>
            <w:tcW w:type="dxa" w:w="1234"/>
          </w:tcPr>
          <w:p>
            <w:r>
              <w:rPr>
                <w:rFonts w:ascii="Calibri" w:hAnsi="Calibri"/>
                <w:sz w:val="22"/>
              </w:rPr>
              <w:t>$4.85</w:t>
            </w:r>
          </w:p>
        </w:tc>
        <w:tc>
          <w:tcPr>
            <w:tcW w:type="dxa" w:w="1234"/>
          </w:tcPr>
          <w:p>
            <w:r>
              <w:rPr>
                <w:rFonts w:ascii="Calibri" w:hAnsi="Calibri"/>
                <w:sz w:val="22"/>
              </w:rPr>
              <w:t>$4.05</w:t>
            </w:r>
          </w:p>
        </w:tc>
        <w:tc>
          <w:tcPr>
            <w:tcW w:type="dxa" w:w="1234"/>
          </w:tcPr>
          <w:p>
            <w:r>
              <w:rPr>
                <w:rFonts w:ascii="Calibri" w:hAnsi="Calibri"/>
                <w:sz w:val="22"/>
              </w:rPr>
              <w:t>$3.65</w:t>
            </w:r>
          </w:p>
        </w:tc>
        <w:tc>
          <w:tcPr>
            <w:tcW w:type="dxa" w:w="1234"/>
          </w:tcPr>
          <w:p>
            <w:r>
              <w:rPr>
                <w:rFonts w:ascii="Calibri" w:hAnsi="Calibri"/>
                <w:sz w:val="22"/>
              </w:rPr>
              <w:t>-9.9% YoY</w:t>
            </w:r>
          </w:p>
        </w:tc>
        <w:tc>
          <w:tcPr>
            <w:tcW w:type="dxa" w:w="1234"/>
          </w:tcPr>
          <w:p>
            <w:r>
              <w:rPr>
                <w:rFonts w:ascii="Calibri" w:hAnsi="Calibri"/>
                <w:sz w:val="22"/>
              </w:rPr>
              <w:t>No specific EPS guidance</w:t>
            </w:r>
          </w:p>
        </w:tc>
        <w:tc>
          <w:tcPr>
            <w:tcW w:type="dxa" w:w="1234"/>
          </w:tcPr>
          <w:p>
            <w:r>
              <w:rPr>
                <w:rFonts w:ascii="Calibri" w:hAnsi="Calibri"/>
                <w:sz w:val="22"/>
              </w:rPr>
              <w:t>N/A — no numeric guidance</w:t>
            </w:r>
          </w:p>
        </w:tc>
      </w:tr>
      <w:tr>
        <w:tc>
          <w:tcPr>
            <w:tcW w:type="dxa" w:w="1234"/>
          </w:tcPr>
          <w:p>
            <w:r>
              <w:rPr>
                <w:rFonts w:ascii="Calibri" w:hAnsi="Calibri"/>
                <w:sz w:val="22"/>
              </w:rPr>
              <w:t>Auto Policies in Force (K)</w:t>
            </w:r>
          </w:p>
        </w:tc>
        <w:tc>
          <w:tcPr>
            <w:tcW w:type="dxa" w:w="1234"/>
          </w:tcPr>
          <w:p>
            <w:r>
              <w:rPr>
                <w:rFonts w:ascii="Calibri" w:hAnsi="Calibri"/>
                <w:sz w:val="22"/>
              </w:rPr>
              <w:t>36,455K</w:t>
            </w:r>
          </w:p>
        </w:tc>
        <w:tc>
          <w:tcPr>
            <w:tcW w:type="dxa" w:w="1234"/>
          </w:tcPr>
          <w:p>
            <w:r>
              <w:rPr>
                <w:rFonts w:ascii="Calibri" w:hAnsi="Calibri"/>
                <w:sz w:val="22"/>
              </w:rPr>
              <w:t>34,427K</w:t>
            </w:r>
          </w:p>
        </w:tc>
        <w:tc>
          <w:tcPr>
            <w:tcW w:type="dxa" w:w="1234"/>
          </w:tcPr>
          <w:p>
            <w:r>
              <w:rPr>
                <w:rFonts w:ascii="Calibri" w:hAnsi="Calibri"/>
                <w:sz w:val="22"/>
              </w:rPr>
              <w:t>36,884K</w:t>
            </w:r>
          </w:p>
        </w:tc>
        <w:tc>
          <w:tcPr>
            <w:tcW w:type="dxa" w:w="1234"/>
          </w:tcPr>
          <w:p>
            <w:r>
              <w:rPr>
                <w:rFonts w:ascii="Calibri" w:hAnsi="Calibri"/>
                <w:sz w:val="22"/>
              </w:rPr>
              <w:t>+7.1% YoY</w:t>
            </w:r>
          </w:p>
        </w:tc>
        <w:tc>
          <w:tcPr>
            <w:tcW w:type="dxa" w:w="1234"/>
          </w:tcPr>
          <w:p>
            <w:r>
              <w:rPr>
                <w:rFonts w:ascii="Calibri" w:hAnsi="Calibri"/>
                <w:sz w:val="22"/>
              </w:rPr>
              <w:t>Grow as fast as possible; adding states in Q2/Q3</w:t>
            </w:r>
          </w:p>
        </w:tc>
        <w:tc>
          <w:tcPr>
            <w:tcW w:type="dxa" w:w="1234"/>
          </w:tcPr>
          <w:p>
            <w:r>
              <w:rPr>
                <w:rFonts w:ascii="Calibri" w:hAnsi="Calibri"/>
                <w:sz w:val="22"/>
              </w:rPr>
              <w:t>N/A — no numeric guidance</w:t>
            </w:r>
          </w:p>
        </w:tc>
      </w:tr>
      <w:tr>
        <w:tc>
          <w:tcPr>
            <w:tcW w:type="dxa" w:w="1234"/>
          </w:tcPr>
          <w:p>
            <w:r>
              <w:rPr>
                <w:rFonts w:ascii="Calibri" w:hAnsi="Calibri"/>
                <w:sz w:val="22"/>
              </w:rPr>
              <w:t>Total Revenues ($B)</w:t>
            </w:r>
          </w:p>
        </w:tc>
        <w:tc>
          <w:tcPr>
            <w:tcW w:type="dxa" w:w="1234"/>
          </w:tcPr>
          <w:p>
            <w:r>
              <w:rPr>
                <w:rFonts w:ascii="Calibri" w:hAnsi="Calibri"/>
                <w:sz w:val="22"/>
              </w:rPr>
              <w:t>$23.6B</w:t>
            </w:r>
          </w:p>
        </w:tc>
        <w:tc>
          <w:tcPr>
            <w:tcW w:type="dxa" w:w="1234"/>
          </w:tcPr>
          <w:p>
            <w:r>
              <w:rPr>
                <w:rFonts w:ascii="Calibri" w:hAnsi="Calibri"/>
                <w:sz w:val="22"/>
              </w:rPr>
              <w:t>$22.5B</w:t>
            </w:r>
          </w:p>
        </w:tc>
        <w:tc>
          <w:tcPr>
            <w:tcW w:type="dxa" w:w="1234"/>
          </w:tcPr>
          <w:p>
            <w:r>
              <w:rPr>
                <w:rFonts w:ascii="Calibri" w:hAnsi="Calibri"/>
                <w:sz w:val="22"/>
              </w:rPr>
              <w:t>$23.3B</w:t>
            </w:r>
          </w:p>
        </w:tc>
        <w:tc>
          <w:tcPr>
            <w:tcW w:type="dxa" w:w="1234"/>
          </w:tcPr>
          <w:p>
            <w:r>
              <w:rPr>
                <w:rFonts w:ascii="Calibri" w:hAnsi="Calibri"/>
                <w:sz w:val="22"/>
              </w:rPr>
              <w:t>+3.4% YoY</w:t>
            </w:r>
          </w:p>
        </w:tc>
        <w:tc>
          <w:tcPr>
            <w:tcW w:type="dxa" w:w="1234"/>
          </w:tcPr>
          <w:p>
            <w:r>
              <w:rPr>
                <w:rFonts w:ascii="Calibri" w:hAnsi="Calibri"/>
                <w:sz w:val="22"/>
              </w:rPr>
              <w:t>No specific revenue guidance</w:t>
            </w:r>
          </w:p>
        </w:tc>
        <w:tc>
          <w:tcPr>
            <w:tcW w:type="dxa" w:w="1234"/>
          </w:tcPr>
          <w:p>
            <w:r>
              <w:rPr>
                <w:rFonts w:ascii="Calibri" w:hAnsi="Calibri"/>
                <w:sz w:val="22"/>
              </w:rPr>
              <w:t>N/A — no numeric guidance</w:t>
            </w:r>
          </w:p>
        </w:tc>
      </w:tr>
      <w:tr>
        <w:tc>
          <w:tcPr>
            <w:tcW w:type="dxa" w:w="1234"/>
          </w:tcPr>
          <w:p>
            <w:r>
              <w:rPr>
                <w:rFonts w:ascii="Calibri" w:hAnsi="Calibri"/>
                <w:sz w:val="22"/>
              </w:rPr>
              <w:t>Investment Income ($M)</w:t>
            </w:r>
          </w:p>
        </w:tc>
        <w:tc>
          <w:tcPr>
            <w:tcW w:type="dxa" w:w="1234"/>
          </w:tcPr>
          <w:p>
            <w:r>
              <w:rPr>
                <w:rFonts w:ascii="Calibri" w:hAnsi="Calibri"/>
                <w:sz w:val="22"/>
              </w:rPr>
              <w:t>$979M</w:t>
            </w:r>
          </w:p>
        </w:tc>
        <w:tc>
          <w:tcPr>
            <w:tcW w:type="dxa" w:w="1234"/>
          </w:tcPr>
          <w:p>
            <w:r>
              <w:rPr>
                <w:rFonts w:ascii="Calibri" w:hAnsi="Calibri"/>
                <w:sz w:val="22"/>
              </w:rPr>
              <w:t>$924M</w:t>
            </w:r>
          </w:p>
        </w:tc>
        <w:tc>
          <w:tcPr>
            <w:tcW w:type="dxa" w:w="1234"/>
          </w:tcPr>
          <w:p>
            <w:r>
              <w:rPr>
                <w:rFonts w:ascii="Calibri" w:hAnsi="Calibri"/>
                <w:sz w:val="22"/>
              </w:rPr>
              <w:t>$1,009M</w:t>
            </w:r>
          </w:p>
        </w:tc>
        <w:tc>
          <w:tcPr>
            <w:tcW w:type="dxa" w:w="1234"/>
          </w:tcPr>
          <w:p>
            <w:r>
              <w:rPr>
                <w:rFonts w:ascii="Calibri" w:hAnsi="Calibri"/>
                <w:sz w:val="22"/>
              </w:rPr>
              <w:t>+9.2% YoY</w:t>
            </w:r>
          </w:p>
        </w:tc>
        <w:tc>
          <w:tcPr>
            <w:tcW w:type="dxa" w:w="1234"/>
          </w:tcPr>
          <w:p>
            <w:r>
              <w:rPr>
                <w:rFonts w:ascii="Calibri" w:hAnsi="Calibri"/>
                <w:sz w:val="22"/>
              </w:rPr>
              <w:t>No specific guidance; portfolio yield 4.2% YTD</w:t>
            </w:r>
          </w:p>
        </w:tc>
        <w:tc>
          <w:tcPr>
            <w:tcW w:type="dxa" w:w="1234"/>
          </w:tcPr>
          <w:p>
            <w:r>
              <w:rPr>
                <w:rFonts w:ascii="Calibri" w:hAnsi="Calibri"/>
                <w:sz w:val="22"/>
              </w:rPr>
              <w:t>N/A — no numeric guidance</w:t>
            </w:r>
          </w:p>
        </w:tc>
      </w:tr>
    </w:tbl>
    <w:p>
      <w:r>
        <w:rPr>
          <w:rFonts w:ascii="Calibri" w:hAnsi="Calibri"/>
          <w:i/>
          <w:color w:val="525866"/>
          <w:sz w:val="22"/>
        </w:rPr>
        <w:t>Source: Visible Alpha Consensus and Actuals Data; PGR Q2 2026 Earnings Release (July 15, 2026); PGR Q1 2026 Earnings Call (April 15, 2026).</w:t>
      </w:r>
    </w:p>
    <w:p>
      <w:pPr>
        <w:pStyle w:val="Heading3"/>
      </w:pPr>
      <w:r>
        <w:rPr>
          <w:rFonts w:ascii="Calibri" w:hAnsi="Calibri"/>
          <w:b/>
          <w:color w:val="3B4259"/>
          <w:sz w:val="24"/>
        </w:rPr>
        <w:t>Table 2 — Beat/Miss History (Last 8 Quarters, Top 2 KPIs)</w:t>
      </w:r>
    </w:p>
    <w:p>
      <w:r>
        <w:rPr>
          <w:rFonts w:ascii="Calibri" w:hAnsi="Calibri"/>
          <w:b/>
          <w:color w:val="525866"/>
          <w:sz w:val="22"/>
        </w:rPr>
        <w:t>Top KPI #1: Net Premiums Written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Q3 2024</w:t>
            </w:r>
          </w:p>
        </w:tc>
        <w:tc>
          <w:tcPr>
            <w:tcW w:type="dxa" w:w="1728"/>
          </w:tcPr>
          <w:p>
            <w:r>
              <w:rPr>
                <w:rFonts w:ascii="Calibri" w:hAnsi="Calibri"/>
                <w:sz w:val="22"/>
              </w:rPr>
              <w:t>$19.5B</w:t>
            </w:r>
          </w:p>
        </w:tc>
        <w:tc>
          <w:tcPr>
            <w:tcW w:type="dxa" w:w="1728"/>
          </w:tcPr>
          <w:p>
            <w:r>
              <w:rPr>
                <w:rFonts w:ascii="Calibri" w:hAnsi="Calibri"/>
                <w:sz w:val="22"/>
              </w:rPr>
              <w:t>$19.3B</w:t>
            </w:r>
          </w:p>
        </w:tc>
        <w:tc>
          <w:tcPr>
            <w:tcW w:type="dxa" w:w="1728"/>
          </w:tcPr>
          <w:p>
            <w:r>
              <w:rPr>
                <w:rFonts w:ascii="Calibri" w:hAnsi="Calibri"/>
                <w:sz w:val="22"/>
              </w:rPr>
              <w:t>+1.1%</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$18.1B</w:t>
            </w:r>
          </w:p>
        </w:tc>
        <w:tc>
          <w:tcPr>
            <w:tcW w:type="dxa" w:w="1728"/>
          </w:tcPr>
          <w:p>
            <w:r>
              <w:rPr>
                <w:rFonts w:ascii="Calibri" w:hAnsi="Calibri"/>
                <w:sz w:val="22"/>
              </w:rPr>
              <w:t>$18.2B</w:t>
            </w:r>
          </w:p>
        </w:tc>
        <w:tc>
          <w:tcPr>
            <w:tcW w:type="dxa" w:w="1728"/>
          </w:tcPr>
          <w:p>
            <w:r>
              <w:rPr>
                <w:rFonts w:ascii="Calibri" w:hAnsi="Calibri"/>
                <w:sz w:val="22"/>
              </w:rPr>
              <w:t>-0.3%</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$22.2B</w:t>
            </w:r>
          </w:p>
        </w:tc>
        <w:tc>
          <w:tcPr>
            <w:tcW w:type="dxa" w:w="1728"/>
          </w:tcPr>
          <w:p>
            <w:r>
              <w:rPr>
                <w:rFonts w:ascii="Calibri" w:hAnsi="Calibri"/>
                <w:sz w:val="22"/>
              </w:rPr>
              <w:t>$22.2B</w:t>
            </w:r>
          </w:p>
        </w:tc>
        <w:tc>
          <w:tcPr>
            <w:tcW w:type="dxa" w:w="1728"/>
          </w:tcPr>
          <w:p>
            <w:r>
              <w:rPr>
                <w:rFonts w:ascii="Calibri" w:hAnsi="Calibri"/>
                <w:sz w:val="22"/>
              </w:rPr>
              <w:t>+0.2%</w:t>
            </w:r>
          </w:p>
        </w:tc>
        <w:tc>
          <w:tcPr>
            <w:tcW w:type="dxa" w:w="1728"/>
          </w:tcPr>
          <w:p>
            <w:r>
              <w:rPr>
                <w:rFonts w:ascii="Calibri" w:hAnsi="Calibri"/>
                <w:sz w:val="22"/>
              </w:rPr>
              <w:t>In Line</w:t>
            </w:r>
          </w:p>
        </w:tc>
      </w:tr>
      <w:tr>
        <w:tc>
          <w:tcPr>
            <w:tcW w:type="dxa" w:w="1728"/>
          </w:tcPr>
          <w:p>
            <w:r>
              <w:rPr>
                <w:rFonts w:ascii="Calibri" w:hAnsi="Calibri"/>
                <w:sz w:val="22"/>
              </w:rPr>
              <w:t>Q2 2025</w:t>
            </w:r>
          </w:p>
        </w:tc>
        <w:tc>
          <w:tcPr>
            <w:tcW w:type="dxa" w:w="1728"/>
          </w:tcPr>
          <w:p>
            <w:r>
              <w:rPr>
                <w:rFonts w:ascii="Calibri" w:hAnsi="Calibri"/>
                <w:sz w:val="22"/>
              </w:rPr>
              <w:t>$20.1B</w:t>
            </w:r>
          </w:p>
        </w:tc>
        <w:tc>
          <w:tcPr>
            <w:tcW w:type="dxa" w:w="1728"/>
          </w:tcPr>
          <w:p>
            <w:r>
              <w:rPr>
                <w:rFonts w:ascii="Calibri" w:hAnsi="Calibri"/>
                <w:sz w:val="22"/>
              </w:rPr>
              <w:t>$20.2B</w:t>
            </w:r>
          </w:p>
        </w:tc>
        <w:tc>
          <w:tcPr>
            <w:tcW w:type="dxa" w:w="1728"/>
          </w:tcPr>
          <w:p>
            <w:r>
              <w:rPr>
                <w:rFonts w:ascii="Calibri" w:hAnsi="Calibri"/>
                <w:sz w:val="22"/>
              </w:rPr>
              <w:t>-0.7%</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$21.4B</w:t>
            </w:r>
          </w:p>
        </w:tc>
        <w:tc>
          <w:tcPr>
            <w:tcW w:type="dxa" w:w="1728"/>
          </w:tcPr>
          <w:p>
            <w:r>
              <w:rPr>
                <w:rFonts w:ascii="Calibri" w:hAnsi="Calibri"/>
                <w:sz w:val="22"/>
              </w:rPr>
              <w:t>$21.6B</w:t>
            </w:r>
          </w:p>
        </w:tc>
        <w:tc>
          <w:tcPr>
            <w:tcW w:type="dxa" w:w="1728"/>
          </w:tcPr>
          <w:p>
            <w:r>
              <w:rPr>
                <w:rFonts w:ascii="Calibri" w:hAnsi="Calibri"/>
                <w:sz w:val="22"/>
              </w:rPr>
              <w:t>-1.1%</w:t>
            </w:r>
          </w:p>
        </w:tc>
        <w:tc>
          <w:tcPr>
            <w:tcW w:type="dxa" w:w="1728"/>
          </w:tcPr>
          <w:p>
            <w:r>
              <w:rPr>
                <w:rFonts w:ascii="Calibri" w:hAnsi="Calibri"/>
                <w:b/>
                <w:color w:val="E5484D"/>
                <w:sz w:val="22"/>
              </w:rPr>
              <w:t>Miss</w:t>
            </w:r>
          </w:p>
        </w:tc>
      </w:tr>
      <w:tr>
        <w:tc>
          <w:tcPr>
            <w:tcW w:type="dxa" w:w="1728"/>
          </w:tcPr>
          <w:p>
            <w:r>
              <w:rPr>
                <w:rFonts w:ascii="Calibri" w:hAnsi="Calibri"/>
                <w:sz w:val="22"/>
              </w:rPr>
              <w:t>Q4 2025</w:t>
            </w:r>
          </w:p>
        </w:tc>
        <w:tc>
          <w:tcPr>
            <w:tcW w:type="dxa" w:w="1728"/>
          </w:tcPr>
          <w:p>
            <w:r>
              <w:rPr>
                <w:rFonts w:ascii="Calibri" w:hAnsi="Calibri"/>
                <w:sz w:val="22"/>
              </w:rPr>
              <w:t>$19.5B</w:t>
            </w:r>
          </w:p>
        </w:tc>
        <w:tc>
          <w:tcPr>
            <w:tcW w:type="dxa" w:w="1728"/>
          </w:tcPr>
          <w:p>
            <w:r>
              <w:rPr>
                <w:rFonts w:ascii="Calibri" w:hAnsi="Calibri"/>
                <w:sz w:val="22"/>
              </w:rPr>
              <w:t>$19.7B</w:t>
            </w:r>
          </w:p>
        </w:tc>
        <w:tc>
          <w:tcPr>
            <w:tcW w:type="dxa" w:w="1728"/>
          </w:tcPr>
          <w:p>
            <w:r>
              <w:rPr>
                <w:rFonts w:ascii="Calibri" w:hAnsi="Calibri"/>
                <w:sz w:val="22"/>
              </w:rPr>
              <w:t>-1.0%</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$23.6B</w:t>
            </w:r>
          </w:p>
        </w:tc>
        <w:tc>
          <w:tcPr>
            <w:tcW w:type="dxa" w:w="1728"/>
          </w:tcPr>
          <w:p>
            <w:r>
              <w:rPr>
                <w:rFonts w:ascii="Calibri" w:hAnsi="Calibri"/>
                <w:sz w:val="22"/>
              </w:rPr>
              <w:t>$23.3B</w:t>
            </w:r>
          </w:p>
        </w:tc>
        <w:tc>
          <w:tcPr>
            <w:tcW w:type="dxa" w:w="1728"/>
          </w:tcPr>
          <w:p>
            <w:r>
              <w:rPr>
                <w:rFonts w:ascii="Calibri" w:hAnsi="Calibri"/>
                <w:sz w:val="22"/>
              </w:rPr>
              <w:t>+1.5%</w:t>
            </w:r>
          </w:p>
        </w:tc>
        <w:tc>
          <w:tcPr>
            <w:tcW w:type="dxa" w:w="1728"/>
          </w:tcPr>
          <w:p>
            <w:r>
              <w:rPr>
                <w:rFonts w:ascii="Calibri" w:hAnsi="Calibri"/>
                <w:b/>
                <w:color w:val="30A46C"/>
                <w:sz w:val="22"/>
              </w:rPr>
              <w:t>Beat</w:t>
            </w:r>
          </w:p>
        </w:tc>
      </w:tr>
      <w:tr>
        <w:tc>
          <w:tcPr>
            <w:tcW w:type="dxa" w:w="1728"/>
          </w:tcPr>
          <w:p>
            <w:r>
              <w:rPr>
                <w:rFonts w:ascii="Calibri" w:hAnsi="Calibri"/>
                <w:sz w:val="22"/>
              </w:rPr>
              <w:t>Q2 2026</w:t>
            </w:r>
          </w:p>
        </w:tc>
        <w:tc>
          <w:tcPr>
            <w:tcW w:type="dxa" w:w="1728"/>
          </w:tcPr>
          <w:p>
            <w:r>
              <w:rPr>
                <w:rFonts w:ascii="Calibri" w:hAnsi="Calibri"/>
                <w:sz w:val="22"/>
              </w:rPr>
              <w:t>$21.1B</w:t>
            </w:r>
          </w:p>
        </w:tc>
        <w:tc>
          <w:tcPr>
            <w:tcW w:type="dxa" w:w="1728"/>
          </w:tcPr>
          <w:p>
            <w:r>
              <w:rPr>
                <w:rFonts w:ascii="Calibri" w:hAnsi="Calibri"/>
                <w:sz w:val="22"/>
              </w:rPr>
              <w:t>$21.2B</w:t>
            </w:r>
          </w:p>
        </w:tc>
        <w:tc>
          <w:tcPr>
            <w:tcW w:type="dxa" w:w="1728"/>
          </w:tcPr>
          <w:p>
            <w:r>
              <w:rPr>
                <w:rFonts w:ascii="Calibri" w:hAnsi="Calibri"/>
                <w:sz w:val="22"/>
              </w:rPr>
              <w:t>-0.6%</w:t>
            </w:r>
          </w:p>
        </w:tc>
        <w:tc>
          <w:tcPr>
            <w:tcW w:type="dxa" w:w="1728"/>
          </w:tcPr>
          <w:p>
            <w:r>
              <w:rPr>
                <w:rFonts w:ascii="Calibri" w:hAnsi="Calibri"/>
                <w:b/>
                <w:color w:val="E5484D"/>
                <w:sz w:val="22"/>
              </w:rPr>
              <w:t>Miss</w:t>
            </w:r>
          </w:p>
        </w:tc>
      </w:tr>
    </w:tbl>
    <w:p>
      <w:r>
        <w:rPr>
          <w:rFonts w:ascii="Calibri" w:hAnsi="Calibri"/>
          <w:b/>
          <w:color w:val="525866"/>
          <w:sz w:val="22"/>
        </w:rPr>
        <w:t>Top KPI #2: Combined Ratio — P&amp;C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(pts)</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Q3 2024</w:t>
            </w:r>
          </w:p>
        </w:tc>
        <w:tc>
          <w:tcPr>
            <w:tcW w:type="dxa" w:w="1728"/>
          </w:tcPr>
          <w:p>
            <w:r>
              <w:rPr>
                <w:rFonts w:ascii="Calibri" w:hAnsi="Calibri"/>
                <w:sz w:val="22"/>
              </w:rPr>
              <w:t>89.0%</w:t>
            </w:r>
          </w:p>
        </w:tc>
        <w:tc>
          <w:tcPr>
            <w:tcW w:type="dxa" w:w="1728"/>
          </w:tcPr>
          <w:p>
            <w:r>
              <w:rPr>
                <w:rFonts w:ascii="Calibri" w:hAnsi="Calibri"/>
                <w:sz w:val="22"/>
              </w:rPr>
              <w:t>88.8%</w:t>
            </w:r>
          </w:p>
        </w:tc>
        <w:tc>
          <w:tcPr>
            <w:tcW w:type="dxa" w:w="1728"/>
          </w:tcPr>
          <w:p>
            <w:r>
              <w:rPr>
                <w:rFonts w:ascii="Calibri" w:hAnsi="Calibri"/>
                <w:sz w:val="22"/>
              </w:rPr>
              <w:t>+0.3 pts</w:t>
            </w:r>
          </w:p>
        </w:tc>
        <w:tc>
          <w:tcPr>
            <w:tcW w:type="dxa" w:w="1728"/>
          </w:tcPr>
          <w:p>
            <w:r>
              <w:rPr>
                <w:rFonts w:ascii="Calibri" w:hAnsi="Calibri"/>
                <w:b/>
                <w:color w:val="E5484D"/>
                <w:sz w:val="22"/>
              </w:rPr>
              <w:t>Miss (worse CR)</w:t>
            </w:r>
          </w:p>
        </w:tc>
      </w:tr>
      <w:tr>
        <w:tc>
          <w:tcPr>
            <w:tcW w:type="dxa" w:w="1728"/>
          </w:tcPr>
          <w:p>
            <w:r>
              <w:rPr>
                <w:rFonts w:ascii="Calibri" w:hAnsi="Calibri"/>
                <w:sz w:val="22"/>
              </w:rPr>
              <w:t>Q4 2024</w:t>
            </w:r>
          </w:p>
        </w:tc>
        <w:tc>
          <w:tcPr>
            <w:tcW w:type="dxa" w:w="1728"/>
          </w:tcPr>
          <w:p>
            <w:r>
              <w:rPr>
                <w:rFonts w:ascii="Calibri" w:hAnsi="Calibri"/>
                <w:sz w:val="22"/>
              </w:rPr>
              <w:t>87.9%</w:t>
            </w:r>
          </w:p>
        </w:tc>
        <w:tc>
          <w:tcPr>
            <w:tcW w:type="dxa" w:w="1728"/>
          </w:tcPr>
          <w:p>
            <w:r>
              <w:rPr>
                <w:rFonts w:ascii="Calibri" w:hAnsi="Calibri"/>
                <w:sz w:val="22"/>
              </w:rPr>
              <w:t>89.7%</w:t>
            </w:r>
          </w:p>
        </w:tc>
        <w:tc>
          <w:tcPr>
            <w:tcW w:type="dxa" w:w="1728"/>
          </w:tcPr>
          <w:p>
            <w:r>
              <w:rPr>
                <w:rFonts w:ascii="Calibri" w:hAnsi="Calibri"/>
                <w:sz w:val="22"/>
              </w:rPr>
              <w:t>-1.8 pts</w:t>
            </w:r>
          </w:p>
        </w:tc>
        <w:tc>
          <w:tcPr>
            <w:tcW w:type="dxa" w:w="1728"/>
          </w:tcPr>
          <w:p>
            <w:r>
              <w:rPr>
                <w:rFonts w:ascii="Calibri" w:hAnsi="Calibri"/>
                <w:b/>
                <w:color w:val="30A46C"/>
                <w:sz w:val="22"/>
              </w:rPr>
              <w:t>Beat (better CR)</w:t>
            </w:r>
          </w:p>
        </w:tc>
      </w:tr>
      <w:tr>
        <w:tc>
          <w:tcPr>
            <w:tcW w:type="dxa" w:w="1728"/>
          </w:tcPr>
          <w:p>
            <w:r>
              <w:rPr>
                <w:rFonts w:ascii="Calibri" w:hAnsi="Calibri"/>
                <w:sz w:val="22"/>
              </w:rPr>
              <w:t>Q1 2025</w:t>
            </w:r>
          </w:p>
        </w:tc>
        <w:tc>
          <w:tcPr>
            <w:tcW w:type="dxa" w:w="1728"/>
          </w:tcPr>
          <w:p>
            <w:r>
              <w:rPr>
                <w:rFonts w:ascii="Calibri" w:hAnsi="Calibri"/>
                <w:sz w:val="22"/>
              </w:rPr>
              <w:t>86.0%</w:t>
            </w:r>
          </w:p>
        </w:tc>
        <w:tc>
          <w:tcPr>
            <w:tcW w:type="dxa" w:w="1728"/>
          </w:tcPr>
          <w:p>
            <w:r>
              <w:rPr>
                <w:rFonts w:ascii="Calibri" w:hAnsi="Calibri"/>
                <w:sz w:val="22"/>
              </w:rPr>
              <w:t>85.9%</w:t>
            </w:r>
          </w:p>
        </w:tc>
        <w:tc>
          <w:tcPr>
            <w:tcW w:type="dxa" w:w="1728"/>
          </w:tcPr>
          <w:p>
            <w:r>
              <w:rPr>
                <w:rFonts w:ascii="Calibri" w:hAnsi="Calibri"/>
                <w:sz w:val="22"/>
              </w:rPr>
              <w:t>+0.1 pts</w:t>
            </w:r>
          </w:p>
        </w:tc>
        <w:tc>
          <w:tcPr>
            <w:tcW w:type="dxa" w:w="1728"/>
          </w:tcPr>
          <w:p>
            <w:r>
              <w:rPr>
                <w:rFonts w:ascii="Calibri" w:hAnsi="Calibri"/>
                <w:sz w:val="22"/>
              </w:rPr>
              <w:t>In Line</w:t>
            </w:r>
          </w:p>
        </w:tc>
      </w:tr>
      <w:tr>
        <w:tc>
          <w:tcPr>
            <w:tcW w:type="dxa" w:w="1728"/>
          </w:tcPr>
          <w:p>
            <w:r>
              <w:rPr>
                <w:rFonts w:ascii="Calibri" w:hAnsi="Calibri"/>
                <w:sz w:val="22"/>
              </w:rPr>
              <w:t>Q2 2025</w:t>
            </w:r>
          </w:p>
        </w:tc>
        <w:tc>
          <w:tcPr>
            <w:tcW w:type="dxa" w:w="1728"/>
          </w:tcPr>
          <w:p>
            <w:r>
              <w:rPr>
                <w:rFonts w:ascii="Calibri" w:hAnsi="Calibri"/>
                <w:sz w:val="22"/>
              </w:rPr>
              <w:t>86.1%</w:t>
            </w:r>
          </w:p>
        </w:tc>
        <w:tc>
          <w:tcPr>
            <w:tcW w:type="dxa" w:w="1728"/>
          </w:tcPr>
          <w:p>
            <w:r>
              <w:rPr>
                <w:rFonts w:ascii="Calibri" w:hAnsi="Calibri"/>
                <w:sz w:val="22"/>
              </w:rPr>
              <w:t>87.8%</w:t>
            </w:r>
          </w:p>
        </w:tc>
        <w:tc>
          <w:tcPr>
            <w:tcW w:type="dxa" w:w="1728"/>
          </w:tcPr>
          <w:p>
            <w:r>
              <w:rPr>
                <w:rFonts w:ascii="Calibri" w:hAnsi="Calibri"/>
                <w:sz w:val="22"/>
              </w:rPr>
              <w:t>-1.7 pts</w:t>
            </w:r>
          </w:p>
        </w:tc>
        <w:tc>
          <w:tcPr>
            <w:tcW w:type="dxa" w:w="1728"/>
          </w:tcPr>
          <w:p>
            <w:r>
              <w:rPr>
                <w:rFonts w:ascii="Calibri" w:hAnsi="Calibri"/>
                <w:b/>
                <w:color w:val="30A46C"/>
                <w:sz w:val="22"/>
              </w:rPr>
              <w:t>Beat (better CR)</w:t>
            </w:r>
          </w:p>
        </w:tc>
      </w:tr>
      <w:tr>
        <w:tc>
          <w:tcPr>
            <w:tcW w:type="dxa" w:w="1728"/>
          </w:tcPr>
          <w:p>
            <w:r>
              <w:rPr>
                <w:rFonts w:ascii="Calibri" w:hAnsi="Calibri"/>
                <w:sz w:val="22"/>
              </w:rPr>
              <w:t>Q3 2025</w:t>
            </w:r>
          </w:p>
        </w:tc>
        <w:tc>
          <w:tcPr>
            <w:tcW w:type="dxa" w:w="1728"/>
          </w:tcPr>
          <w:p>
            <w:r>
              <w:rPr>
                <w:rFonts w:ascii="Calibri" w:hAnsi="Calibri"/>
                <w:sz w:val="22"/>
              </w:rPr>
              <w:t>89.5%</w:t>
            </w:r>
          </w:p>
        </w:tc>
        <w:tc>
          <w:tcPr>
            <w:tcW w:type="dxa" w:w="1728"/>
          </w:tcPr>
          <w:p>
            <w:r>
              <w:rPr>
                <w:rFonts w:ascii="Calibri" w:hAnsi="Calibri"/>
                <w:sz w:val="22"/>
              </w:rPr>
              <w:t>86.4%</w:t>
            </w:r>
          </w:p>
        </w:tc>
        <w:tc>
          <w:tcPr>
            <w:tcW w:type="dxa" w:w="1728"/>
          </w:tcPr>
          <w:p>
            <w:r>
              <w:rPr>
                <w:rFonts w:ascii="Calibri" w:hAnsi="Calibri"/>
                <w:sz w:val="22"/>
              </w:rPr>
              <w:t>+3.1 pts</w:t>
            </w:r>
          </w:p>
        </w:tc>
        <w:tc>
          <w:tcPr>
            <w:tcW w:type="dxa" w:w="1728"/>
          </w:tcPr>
          <w:p>
            <w:r>
              <w:rPr>
                <w:rFonts w:ascii="Calibri" w:hAnsi="Calibri"/>
                <w:b/>
                <w:color w:val="E5484D"/>
                <w:sz w:val="22"/>
              </w:rPr>
              <w:t>Miss (worse CR)</w:t>
            </w:r>
          </w:p>
        </w:tc>
      </w:tr>
      <w:tr>
        <w:tc>
          <w:tcPr>
            <w:tcW w:type="dxa" w:w="1728"/>
          </w:tcPr>
          <w:p>
            <w:r>
              <w:rPr>
                <w:rFonts w:ascii="Calibri" w:hAnsi="Calibri"/>
                <w:sz w:val="22"/>
              </w:rPr>
              <w:t>Q4 2025</w:t>
            </w:r>
          </w:p>
        </w:tc>
        <w:tc>
          <w:tcPr>
            <w:tcW w:type="dxa" w:w="1728"/>
          </w:tcPr>
          <w:p>
            <w:r>
              <w:rPr>
                <w:rFonts w:ascii="Calibri" w:hAnsi="Calibri"/>
                <w:sz w:val="22"/>
              </w:rPr>
              <w:t>88.0%</w:t>
            </w:r>
          </w:p>
        </w:tc>
        <w:tc>
          <w:tcPr>
            <w:tcW w:type="dxa" w:w="1728"/>
          </w:tcPr>
          <w:p>
            <w:r>
              <w:rPr>
                <w:rFonts w:ascii="Calibri" w:hAnsi="Calibri"/>
                <w:sz w:val="22"/>
              </w:rPr>
              <w:t>88.4%</w:t>
            </w:r>
          </w:p>
        </w:tc>
        <w:tc>
          <w:tcPr>
            <w:tcW w:type="dxa" w:w="1728"/>
          </w:tcPr>
          <w:p>
            <w:r>
              <w:rPr>
                <w:rFonts w:ascii="Calibri" w:hAnsi="Calibri"/>
                <w:sz w:val="22"/>
              </w:rPr>
              <w:t>-0.4 pts</w:t>
            </w:r>
          </w:p>
        </w:tc>
        <w:tc>
          <w:tcPr>
            <w:tcW w:type="dxa" w:w="1728"/>
          </w:tcPr>
          <w:p>
            <w:r>
              <w:rPr>
                <w:rFonts w:ascii="Calibri" w:hAnsi="Calibri"/>
                <w:b/>
                <w:color w:val="30A46C"/>
                <w:sz w:val="22"/>
              </w:rPr>
              <w:t>Beat (better CR)</w:t>
            </w:r>
          </w:p>
        </w:tc>
      </w:tr>
      <w:tr>
        <w:tc>
          <w:tcPr>
            <w:tcW w:type="dxa" w:w="1728"/>
          </w:tcPr>
          <w:p>
            <w:r>
              <w:rPr>
                <w:rFonts w:ascii="Calibri" w:hAnsi="Calibri"/>
                <w:sz w:val="22"/>
              </w:rPr>
              <w:t>Q1 2026</w:t>
            </w:r>
          </w:p>
        </w:tc>
        <w:tc>
          <w:tcPr>
            <w:tcW w:type="dxa" w:w="1728"/>
          </w:tcPr>
          <w:p>
            <w:r>
              <w:rPr>
                <w:rFonts w:ascii="Calibri" w:hAnsi="Calibri"/>
                <w:sz w:val="22"/>
              </w:rPr>
              <w:t>86.3%</w:t>
            </w:r>
          </w:p>
        </w:tc>
        <w:tc>
          <w:tcPr>
            <w:tcW w:type="dxa" w:w="1728"/>
          </w:tcPr>
          <w:p>
            <w:r>
              <w:rPr>
                <w:rFonts w:ascii="Calibri" w:hAnsi="Calibri"/>
                <w:sz w:val="22"/>
              </w:rPr>
              <w:t>86.7%</w:t>
            </w:r>
          </w:p>
        </w:tc>
        <w:tc>
          <w:tcPr>
            <w:tcW w:type="dxa" w:w="1728"/>
          </w:tcPr>
          <w:p>
            <w:r>
              <w:rPr>
                <w:rFonts w:ascii="Calibri" w:hAnsi="Calibri"/>
                <w:sz w:val="22"/>
              </w:rPr>
              <w:t>-0.4 pts</w:t>
            </w:r>
          </w:p>
        </w:tc>
        <w:tc>
          <w:tcPr>
            <w:tcW w:type="dxa" w:w="1728"/>
          </w:tcPr>
          <w:p>
            <w:r>
              <w:rPr>
                <w:rFonts w:ascii="Calibri" w:hAnsi="Calibri"/>
                <w:b/>
                <w:color w:val="30A46C"/>
                <w:sz w:val="22"/>
              </w:rPr>
              <w:t>Beat (better CR)</w:t>
            </w:r>
          </w:p>
        </w:tc>
      </w:tr>
      <w:tr>
        <w:tc>
          <w:tcPr>
            <w:tcW w:type="dxa" w:w="1728"/>
          </w:tcPr>
          <w:p>
            <w:r>
              <w:rPr>
                <w:rFonts w:ascii="Calibri" w:hAnsi="Calibri"/>
                <w:sz w:val="22"/>
              </w:rPr>
              <w:t>Q2 2026</w:t>
            </w:r>
          </w:p>
        </w:tc>
        <w:tc>
          <w:tcPr>
            <w:tcW w:type="dxa" w:w="1728"/>
          </w:tcPr>
          <w:p>
            <w:r>
              <w:rPr>
                <w:rFonts w:ascii="Calibri" w:hAnsi="Calibri"/>
                <w:sz w:val="22"/>
              </w:rPr>
              <w:t>87.3%</w:t>
            </w:r>
          </w:p>
        </w:tc>
        <w:tc>
          <w:tcPr>
            <w:tcW w:type="dxa" w:w="1728"/>
          </w:tcPr>
          <w:p>
            <w:r>
              <w:rPr>
                <w:rFonts w:ascii="Calibri" w:hAnsi="Calibri"/>
                <w:sz w:val="22"/>
              </w:rPr>
              <w:t>87.6%</w:t>
            </w:r>
          </w:p>
        </w:tc>
        <w:tc>
          <w:tcPr>
            <w:tcW w:type="dxa" w:w="1728"/>
          </w:tcPr>
          <w:p>
            <w:r>
              <w:rPr>
                <w:rFonts w:ascii="Calibri" w:hAnsi="Calibri"/>
                <w:sz w:val="22"/>
              </w:rPr>
              <w:t>-0.3 pts</w:t>
            </w:r>
          </w:p>
        </w:tc>
        <w:tc>
          <w:tcPr>
            <w:tcW w:type="dxa" w:w="1728"/>
          </w:tcPr>
          <w:p>
            <w:r>
              <w:rPr>
                <w:rFonts w:ascii="Calibri" w:hAnsi="Calibri"/>
                <w:b/>
                <w:color w:val="30A46C"/>
                <w:sz w:val="22"/>
              </w:rPr>
              <w:t>Beat (better CR)</w:t>
            </w:r>
          </w:p>
        </w:tc>
      </w:tr>
    </w:tbl>
    <w:p>
      <w:r>
        <w:rPr>
          <w:rFonts w:ascii="Calibri" w:hAnsi="Calibri"/>
          <w:b/>
          <w:color w:val="525866"/>
          <w:sz w:val="22"/>
        </w:rPr>
        <w:t xml:space="preserve">Pattern: </w:t>
      </w:r>
      <w:r>
        <w:rPr>
          <w:rFonts w:ascii="Calibri" w:hAnsi="Calibri"/>
          <w:color w:val="525866"/>
          <w:sz w:val="22"/>
        </w:rPr>
        <w:t>PGR has beaten on combined ratio in 5 of the last 8 quarters, with the misses concentrated in Q3 2024 and Q3 2025 — suggesting Q3 is seasonally the most challenging quarter for underwriting. On NPW, the company has missed consensus in 5 of 8 quarters, reflecting the competitive market environment and sequential growth deceleration; the Q3 2026 consensus of $22.2B implies a re-acceleration from Q2’s $21.1B, which may be a high bar given the competitive backdrop.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 has not issued specific Q3 or FY 2026 financial guidance; the strategic posture remains “grow as fast as possible at or below 96% combined ratio,” unchanged since Q1 2026. The most significant post-earnings development is the </w:t>
      </w:r>
      <w:r>
        <w:rPr>
          <w:rFonts w:ascii="Calibri" w:hAnsi="Calibri"/>
          <w:b/>
          <w:color w:val="525866"/>
          <w:sz w:val="22"/>
        </w:rPr>
        <w:t>August 4 Robinson/property investor deep dive</w:t>
      </w:r>
      <w:r>
        <w:rPr>
          <w:rFonts w:ascii="Calibri" w:hAnsi="Calibri"/>
          <w:color w:val="525866"/>
          <w:sz w:val="22"/>
        </w:rPr>
        <w:t>, which signals management’s confidence in the next growth frontier and could shift tone materially.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15)</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Combined Ratio Target</w:t>
            </w:r>
          </w:p>
        </w:tc>
        <w:tc>
          <w:tcPr>
            <w:tcW w:type="dxa" w:w="1728"/>
          </w:tcPr>
          <w:p>
            <w:r>
              <w:rPr>
                <w:rFonts w:ascii="Calibri" w:hAnsi="Calibri"/>
                <w:sz w:val="22"/>
              </w:rPr>
              <w:t>≤96% (grow as fast as possible at or below this level)</w:t>
            </w:r>
          </w:p>
        </w:tc>
        <w:tc>
          <w:tcPr>
            <w:tcW w:type="dxa" w:w="1728"/>
          </w:tcPr>
          <w:p>
            <w:r>
              <w:rPr>
                <w:rFonts w:ascii="Calibri" w:hAnsi="Calibri"/>
                <w:sz w:val="22"/>
              </w:rPr>
              <w:t>—</w:t>
            </w:r>
          </w:p>
        </w:tc>
        <w:tc>
          <w:tcPr>
            <w:tcW w:type="dxa" w:w="1728"/>
          </w:tcPr>
          <w:p>
            <w:r>
              <w:rPr>
                <w:rFonts w:ascii="Calibri" w:hAnsi="Calibri"/>
                <w:sz w:val="22"/>
              </w:rPr>
              <w:t>91.9% (Q3 2026E); 89.1% (FY 2026E)</w:t>
            </w:r>
          </w:p>
        </w:tc>
        <w:tc>
          <w:tcPr>
            <w:tcW w:type="dxa" w:w="1728"/>
          </w:tcPr>
          <w:p>
            <w:r>
              <w:rPr>
                <w:rFonts w:ascii="Calibri" w:hAnsi="Calibri"/>
                <w:sz w:val="22"/>
              </w:rPr>
              <w:t>Unchanged; consensus well below target, implying continued outperformance</w:t>
            </w:r>
          </w:p>
        </w:tc>
      </w:tr>
      <w:tr>
        <w:tc>
          <w:tcPr>
            <w:tcW w:type="dxa" w:w="1728"/>
          </w:tcPr>
          <w:p>
            <w:r>
              <w:rPr>
                <w:rFonts w:ascii="Calibri" w:hAnsi="Calibri"/>
                <w:sz w:val="22"/>
              </w:rPr>
              <w:t>Premium Growth Strategy</w:t>
            </w:r>
          </w:p>
        </w:tc>
        <w:tc>
          <w:tcPr>
            <w:tcW w:type="dxa" w:w="1728"/>
          </w:tcPr>
          <w:p>
            <w:r>
              <w:rPr>
                <w:rFonts w:ascii="Calibri" w:hAnsi="Calibri"/>
                <w:sz w:val="22"/>
              </w:rPr>
              <w:t>Grow as fast as possible; adding states in Q2; record media spend; modest rate decreases where appropriate</w:t>
            </w:r>
          </w:p>
        </w:tc>
        <w:tc>
          <w:tcPr>
            <w:tcW w:type="dxa" w:w="1728"/>
          </w:tcPr>
          <w:p>
            <w:r>
              <w:rPr>
                <w:rFonts w:ascii="Calibri" w:hAnsi="Calibri"/>
                <w:sz w:val="22"/>
              </w:rPr>
              <w:t>—</w:t>
            </w:r>
          </w:p>
        </w:tc>
        <w:tc>
          <w:tcPr>
            <w:tcW w:type="dxa" w:w="1728"/>
          </w:tcPr>
          <w:p>
            <w:r>
              <w:rPr>
                <w:rFonts w:ascii="Calibri" w:hAnsi="Calibri"/>
                <w:sz w:val="22"/>
              </w:rPr>
              <w:t>$22.2B NPW (Q3 2026E); $87.2B (FY 2026E)</w:t>
            </w:r>
          </w:p>
        </w:tc>
        <w:tc>
          <w:tcPr>
            <w:tcW w:type="dxa" w:w="1728"/>
          </w:tcPr>
          <w:p>
            <w:r>
              <w:rPr>
                <w:rFonts w:ascii="Calibri" w:hAnsi="Calibri"/>
                <w:sz w:val="22"/>
              </w:rPr>
              <w:t>Unchanged; competitive environment acknowledged as “more and more competitive”</w:t>
            </w:r>
          </w:p>
        </w:tc>
      </w:tr>
      <w:tr>
        <w:tc>
          <w:tcPr>
            <w:tcW w:type="dxa" w:w="1728"/>
          </w:tcPr>
          <w:p>
            <w:r>
              <w:rPr>
                <w:rFonts w:ascii="Calibri" w:hAnsi="Calibri"/>
                <w:sz w:val="22"/>
              </w:rPr>
              <w:t>Robinson / Property Growth</w:t>
            </w:r>
          </w:p>
        </w:tc>
        <w:tc>
          <w:tcPr>
            <w:tcW w:type="dxa" w:w="1728"/>
          </w:tcPr>
          <w:p>
            <w:r>
              <w:rPr>
                <w:rFonts w:ascii="Calibri" w:hAnsi="Calibri"/>
                <w:sz w:val="22"/>
              </w:rPr>
              <w:t>Dedicated Q2 2026 investor deep dive announced for August 4; $40–$50B top-line opportunity identified; agent roundtables ongoing</w:t>
            </w:r>
          </w:p>
        </w:tc>
        <w:tc>
          <w:tcPr>
            <w:tcW w:type="dxa" w:w="1728"/>
          </w:tcPr>
          <w:p>
            <w:r>
              <w:rPr>
                <w:rFonts w:ascii="Calibri" w:hAnsi="Calibri"/>
                <w:sz w:val="22"/>
              </w:rPr>
              <w:t>August 4 deep dive confirmed (45-min presentation on Robinson segment)</w:t>
            </w:r>
          </w:p>
        </w:tc>
        <w:tc>
          <w:tcPr>
            <w:tcW w:type="dxa" w:w="1728"/>
          </w:tcPr>
          <w:p>
            <w:r>
              <w:rPr>
                <w:rFonts w:ascii="Calibri" w:hAnsi="Calibri"/>
                <w:sz w:val="22"/>
              </w:rPr>
              <w:t>N/A — not separately modeled</w:t>
            </w:r>
          </w:p>
        </w:tc>
        <w:tc>
          <w:tcPr>
            <w:tcW w:type="dxa" w:w="1728"/>
          </w:tcPr>
          <w:p>
            <w:r>
              <w:rPr>
                <w:rFonts w:ascii="Calibri" w:hAnsi="Calibri"/>
                <w:sz w:val="22"/>
              </w:rPr>
              <w:t>↑ Tone escalating; management framing Robinson as primary next growth vector; event on Aug 4 is key catalyst</w:t>
            </w:r>
          </w:p>
        </w:tc>
      </w:tr>
      <w:tr>
        <w:tc>
          <w:tcPr>
            <w:tcW w:type="dxa" w:w="1728"/>
          </w:tcPr>
          <w:p>
            <w:r>
              <w:rPr>
                <w:rFonts w:ascii="Calibri" w:hAnsi="Calibri"/>
                <w:sz w:val="22"/>
              </w:rPr>
              <w:t>Capital Allocation</w:t>
            </w:r>
          </w:p>
        </w:tc>
        <w:tc>
          <w:tcPr>
            <w:tcW w:type="dxa" w:w="1728"/>
          </w:tcPr>
          <w:p>
            <w:r>
              <w:rPr>
                <w:rFonts w:ascii="Calibri" w:hAnsi="Calibri"/>
                <w:sz w:val="22"/>
              </w:rPr>
              <w:t>Share repurchases when stock trades below intrinsic value; 25M share buyback renewed May 8; $0.10/share quarterly dividend declared</w:t>
            </w:r>
          </w:p>
        </w:tc>
        <w:tc>
          <w:tcPr>
            <w:tcW w:type="dxa" w:w="1728"/>
          </w:tcPr>
          <w:p>
            <w:r>
              <w:rPr>
                <w:rFonts w:ascii="Calibri" w:hAnsi="Calibri"/>
                <w:sz w:val="22"/>
              </w:rPr>
              <w:t>25M share buyback renewed (May 8, 2026 8-K); $0.10/share dividend declared payable July 10</w:t>
            </w:r>
          </w:p>
        </w:tc>
        <w:tc>
          <w:tcPr>
            <w:tcW w:type="dxa" w:w="1728"/>
          </w:tcPr>
          <w:p>
            <w:r>
              <w:rPr>
                <w:rFonts w:ascii="Calibri" w:hAnsi="Calibri"/>
                <w:sz w:val="22"/>
              </w:rPr>
              <w:t>N/A</w:t>
            </w:r>
          </w:p>
        </w:tc>
        <w:tc>
          <w:tcPr>
            <w:tcW w:type="dxa" w:w="1728"/>
          </w:tcPr>
          <w:p>
            <w:r>
              <w:rPr>
                <w:rFonts w:ascii="Calibri" w:hAnsi="Calibri"/>
                <w:sz w:val="22"/>
              </w:rPr>
              <w:t>Active buyback execution: 1.27M shares repurchased in May at avg $198.42; 845K shares in June at avg $201.16</w:t>
            </w:r>
          </w:p>
        </w:tc>
      </w:tr>
      <w:tr>
        <w:tc>
          <w:tcPr>
            <w:tcW w:type="dxa" w:w="1728"/>
          </w:tcPr>
          <w:p>
            <w:r>
              <w:rPr>
                <w:rFonts w:ascii="Calibri" w:hAnsi="Calibri"/>
                <w:sz w:val="22"/>
              </w:rPr>
              <w:t>CFO Transition</w:t>
            </w:r>
          </w:p>
        </w:tc>
        <w:tc>
          <w:tcPr>
            <w:tcW w:type="dxa" w:w="1728"/>
          </w:tcPr>
          <w:p>
            <w:r>
              <w:rPr>
                <w:rFonts w:ascii="Calibri" w:hAnsi="Calibri"/>
                <w:sz w:val="22"/>
              </w:rPr>
              <w:t>John Sauerland retiring July 3; Andrew Quigg named CFO effective July 4</w:t>
            </w:r>
          </w:p>
        </w:tc>
        <w:tc>
          <w:tcPr>
            <w:tcW w:type="dxa" w:w="1728"/>
          </w:tcPr>
          <w:p>
            <w:r>
              <w:rPr>
                <w:rFonts w:ascii="Calibri" w:hAnsi="Calibri"/>
                <w:sz w:val="22"/>
              </w:rPr>
              <w:t>Confirmed via May 8 and June 11 8-Ks; Quigg compensation set ($700K salary, 150% Gainshare target)</w:t>
            </w:r>
          </w:p>
        </w:tc>
        <w:tc>
          <w:tcPr>
            <w:tcW w:type="dxa" w:w="1728"/>
          </w:tcPr>
          <w:p>
            <w:r>
              <w:rPr>
                <w:rFonts w:ascii="Calibri" w:hAnsi="Calibri"/>
                <w:sz w:val="22"/>
              </w:rPr>
              <w:t>N/A</w:t>
            </w:r>
          </w:p>
        </w:tc>
        <w:tc>
          <w:tcPr>
            <w:tcW w:type="dxa" w:w="1728"/>
          </w:tcPr>
          <w:p>
            <w:r>
              <w:rPr>
                <w:rFonts w:ascii="Calibri" w:hAnsi="Calibri"/>
                <w:sz w:val="22"/>
              </w:rPr>
              <w:t>Transition complete; Quigg is now CFO; first earnings call as CFO will be Q3 2026 (Nov 2026)</w:t>
            </w:r>
          </w:p>
        </w:tc>
      </w:tr>
      <w:tr>
        <w:tc>
          <w:tcPr>
            <w:tcW w:type="dxa" w:w="1728"/>
          </w:tcPr>
          <w:p>
            <w:r>
              <w:rPr>
                <w:rFonts w:ascii="Calibri" w:hAnsi="Calibri"/>
                <w:sz w:val="22"/>
              </w:rPr>
              <w:t>Macro / Frequency Outlook</w:t>
            </w:r>
          </w:p>
        </w:tc>
        <w:tc>
          <w:tcPr>
            <w:tcW w:type="dxa" w:w="1728"/>
          </w:tcPr>
          <w:p>
            <w:r>
              <w:rPr>
                <w:rFonts w:ascii="Calibri" w:hAnsi="Calibri"/>
                <w:sz w:val="22"/>
              </w:rPr>
              <w:t>Fuel prices, tariffs, geopolitical risks flagged as potential headwinds; monitoring closely; no material impact observed in Q1</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TRV Q2 commentary noted no material evidence of gas price impact on frequency through Q2</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broadly stable since the Q2 2026 print, with Q3 2026 operating EPS consensus essentially unchanged at $3.65–$3.67 and FY 2026 EPS ticking up slightly to $17.59. The </w:t>
      </w:r>
      <w:r>
        <w:rPr>
          <w:rFonts w:ascii="Calibri" w:hAnsi="Calibri"/>
          <w:b/>
          <w:color w:val="525866"/>
          <w:sz w:val="22"/>
        </w:rPr>
        <w:t>combined ratio estimate for Q3 (91.9%) remains a very low bar</w:t>
      </w:r>
      <w:r>
        <w:rPr>
          <w:rFonts w:ascii="Calibri" w:hAnsi="Calibri"/>
          <w:color w:val="525866"/>
          <w:sz w:val="22"/>
        </w:rPr>
        <w:t xml:space="preserve"> relative to PGR’s recent track record, while NPW consensus implies a re-acceleration that may be optimistic given the competitive environment.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Q2 Earnings (as of Jul 20, 2026)</w:t>
            </w:r>
          </w:p>
        </w:tc>
        <w:tc>
          <w:tcPr>
            <w:tcW w:type="dxa" w:w="1080"/>
            <w:shd w:val="clear" w:color="auto" w:fill="3B4259"/>
          </w:tcPr>
          <w:p>
            <w:r>
              <w:rPr>
                <w:rFonts w:ascii="Calibri" w:hAnsi="Calibri"/>
                <w:b/>
                <w:color w:val="FFFFFF"/>
                <w:sz w:val="22"/>
              </w:rPr>
              <w:t>Current Consensus (Aug 3,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w:t>
            </w:r>
          </w:p>
        </w:tc>
      </w:tr>
      <w:tr>
        <w:tc>
          <w:tcPr>
            <w:tcW w:type="dxa" w:w="1080"/>
          </w:tcPr>
          <w:p>
            <w:r>
              <w:rPr>
                <w:rFonts w:ascii="Calibri" w:hAnsi="Calibri"/>
                <w:sz w:val="22"/>
              </w:rPr>
              <w:t>Net Premiums Written — Q3 2026</w:t>
            </w:r>
          </w:p>
        </w:tc>
        <w:tc>
          <w:tcPr>
            <w:tcW w:type="dxa" w:w="1080"/>
          </w:tcPr>
          <w:p>
            <w:r>
              <w:rPr>
                <w:rFonts w:ascii="Calibri" w:hAnsi="Calibri"/>
                <w:sz w:val="22"/>
              </w:rPr>
              <w:t>$22.18B</w:t>
            </w:r>
          </w:p>
        </w:tc>
        <w:tc>
          <w:tcPr>
            <w:tcW w:type="dxa" w:w="1080"/>
          </w:tcPr>
          <w:p>
            <w:r>
              <w:rPr>
                <w:rFonts w:ascii="Calibri" w:hAnsi="Calibri"/>
                <w:sz w:val="22"/>
              </w:rPr>
              <w:t>$22.23B</w:t>
            </w:r>
          </w:p>
        </w:tc>
        <w:tc>
          <w:tcPr>
            <w:tcW w:type="dxa" w:w="1080"/>
          </w:tcPr>
          <w:p>
            <w:r>
              <w:rPr>
                <w:rFonts w:ascii="Calibri" w:hAnsi="Calibri"/>
                <w:sz w:val="22"/>
              </w:rPr>
              <w:t>+0.2%</w:t>
            </w:r>
          </w:p>
        </w:tc>
        <w:tc>
          <w:tcPr>
            <w:tcW w:type="dxa" w:w="1080"/>
          </w:tcPr>
          <w:p>
            <w:r>
              <w:rPr>
                <w:rFonts w:ascii="Calibri" w:hAnsi="Calibri"/>
                <w:sz w:val="22"/>
              </w:rPr>
              <w:t>No specific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Net Premiums Written — FY 2026</w:t>
            </w:r>
          </w:p>
        </w:tc>
        <w:tc>
          <w:tcPr>
            <w:tcW w:type="dxa" w:w="1080"/>
          </w:tcPr>
          <w:p>
            <w:r>
              <w:rPr>
                <w:rFonts w:ascii="Calibri" w:hAnsi="Calibri"/>
                <w:sz w:val="22"/>
              </w:rPr>
              <w:t>$87.16B</w:t>
            </w:r>
          </w:p>
        </w:tc>
        <w:tc>
          <w:tcPr>
            <w:tcW w:type="dxa" w:w="1080"/>
          </w:tcPr>
          <w:p>
            <w:r>
              <w:rPr>
                <w:rFonts w:ascii="Calibri" w:hAnsi="Calibri"/>
                <w:sz w:val="22"/>
              </w:rPr>
              <w:t>$87.23B</w:t>
            </w:r>
          </w:p>
        </w:tc>
        <w:tc>
          <w:tcPr>
            <w:tcW w:type="dxa" w:w="1080"/>
          </w:tcPr>
          <w:p>
            <w:r>
              <w:rPr>
                <w:rFonts w:ascii="Calibri" w:hAnsi="Calibri"/>
                <w:sz w:val="22"/>
              </w:rPr>
              <w:t>+0.1%</w:t>
            </w:r>
          </w:p>
        </w:tc>
        <w:tc>
          <w:tcPr>
            <w:tcW w:type="dxa" w:w="1080"/>
          </w:tcPr>
          <w:p>
            <w:r>
              <w:rPr>
                <w:rFonts w:ascii="Calibri" w:hAnsi="Calibri"/>
                <w:sz w:val="22"/>
              </w:rPr>
              <w:t>No specific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Combined Ratio P&amp;C — Q3 2026 (%)</w:t>
            </w:r>
          </w:p>
        </w:tc>
        <w:tc>
          <w:tcPr>
            <w:tcW w:type="dxa" w:w="1080"/>
          </w:tcPr>
          <w:p>
            <w:r>
              <w:rPr>
                <w:rFonts w:ascii="Calibri" w:hAnsi="Calibri"/>
                <w:sz w:val="22"/>
              </w:rPr>
              <w:t>91.7%</w:t>
            </w:r>
          </w:p>
        </w:tc>
        <w:tc>
          <w:tcPr>
            <w:tcW w:type="dxa" w:w="1080"/>
          </w:tcPr>
          <w:p>
            <w:r>
              <w:rPr>
                <w:rFonts w:ascii="Calibri" w:hAnsi="Calibri"/>
                <w:sz w:val="22"/>
              </w:rPr>
              <w:t>91.9%</w:t>
            </w:r>
          </w:p>
        </w:tc>
        <w:tc>
          <w:tcPr>
            <w:tcW w:type="dxa" w:w="1080"/>
          </w:tcPr>
          <w:p>
            <w:r>
              <w:rPr>
                <w:rFonts w:ascii="Calibri" w:hAnsi="Calibri"/>
                <w:sz w:val="22"/>
              </w:rPr>
              <w:t>+0.2 pts</w:t>
            </w:r>
          </w:p>
        </w:tc>
        <w:tc>
          <w:tcPr>
            <w:tcW w:type="dxa" w:w="1080"/>
          </w:tcPr>
          <w:p>
            <w:r>
              <w:rPr>
                <w:rFonts w:ascii="Calibri" w:hAnsi="Calibri"/>
                <w:sz w:val="22"/>
              </w:rPr>
              <w:t>≤96% target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~4 pts below target; low bar</w:t>
            </w:r>
          </w:p>
        </w:tc>
      </w:tr>
      <w:tr>
        <w:tc>
          <w:tcPr>
            <w:tcW w:type="dxa" w:w="1080"/>
          </w:tcPr>
          <w:p>
            <w:r>
              <w:rPr>
                <w:rFonts w:ascii="Calibri" w:hAnsi="Calibri"/>
                <w:sz w:val="22"/>
              </w:rPr>
              <w:t>Combined Ratio P&amp;C — FY 2026 (%)</w:t>
            </w:r>
          </w:p>
        </w:tc>
        <w:tc>
          <w:tcPr>
            <w:tcW w:type="dxa" w:w="1080"/>
          </w:tcPr>
          <w:p>
            <w:r>
              <w:rPr>
                <w:rFonts w:ascii="Calibri" w:hAnsi="Calibri"/>
                <w:sz w:val="22"/>
              </w:rPr>
              <w:t>88.9%</w:t>
            </w:r>
          </w:p>
        </w:tc>
        <w:tc>
          <w:tcPr>
            <w:tcW w:type="dxa" w:w="1080"/>
          </w:tcPr>
          <w:p>
            <w:r>
              <w:rPr>
                <w:rFonts w:ascii="Calibri" w:hAnsi="Calibri"/>
                <w:sz w:val="22"/>
              </w:rPr>
              <w:t>89.1%</w:t>
            </w:r>
          </w:p>
        </w:tc>
        <w:tc>
          <w:tcPr>
            <w:tcW w:type="dxa" w:w="1080"/>
          </w:tcPr>
          <w:p>
            <w:r>
              <w:rPr>
                <w:rFonts w:ascii="Calibri" w:hAnsi="Calibri"/>
                <w:sz w:val="22"/>
              </w:rPr>
              <w:t>+0.2 pts</w:t>
            </w:r>
          </w:p>
        </w:tc>
        <w:tc>
          <w:tcPr>
            <w:tcW w:type="dxa" w:w="1080"/>
          </w:tcPr>
          <w:p>
            <w:r>
              <w:rPr>
                <w:rFonts w:ascii="Calibri" w:hAnsi="Calibri"/>
                <w:sz w:val="22"/>
              </w:rPr>
              <w:t>≤96% target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~7 pts below target; significant cushion</w:t>
            </w:r>
          </w:p>
        </w:tc>
      </w:tr>
      <w:tr>
        <w:tc>
          <w:tcPr>
            <w:tcW w:type="dxa" w:w="1080"/>
          </w:tcPr>
          <w:p>
            <w:r>
              <w:rPr>
                <w:rFonts w:ascii="Calibri" w:hAnsi="Calibri"/>
                <w:sz w:val="22"/>
              </w:rPr>
              <w:t>EPS Diluted Operating — Q3 2026 ($)</w:t>
            </w:r>
          </w:p>
        </w:tc>
        <w:tc>
          <w:tcPr>
            <w:tcW w:type="dxa" w:w="1080"/>
          </w:tcPr>
          <w:p>
            <w:r>
              <w:rPr>
                <w:rFonts w:ascii="Calibri" w:hAnsi="Calibri"/>
                <w:sz w:val="22"/>
              </w:rPr>
              <w:t>$3.67</w:t>
            </w:r>
          </w:p>
        </w:tc>
        <w:tc>
          <w:tcPr>
            <w:tcW w:type="dxa" w:w="1080"/>
          </w:tcPr>
          <w:p>
            <w:r>
              <w:rPr>
                <w:rFonts w:ascii="Calibri" w:hAnsi="Calibri"/>
                <w:sz w:val="22"/>
              </w:rPr>
              <w:t>$3.65</w:t>
            </w:r>
          </w:p>
        </w:tc>
        <w:tc>
          <w:tcPr>
            <w:tcW w:type="dxa" w:w="1080"/>
          </w:tcPr>
          <w:p>
            <w:r>
              <w:rPr>
                <w:rFonts w:ascii="Calibri" w:hAnsi="Calibri"/>
                <w:sz w:val="22"/>
              </w:rPr>
              <w:t>-0.5%</w:t>
            </w:r>
          </w:p>
        </w:tc>
        <w:tc>
          <w:tcPr>
            <w:tcW w:type="dxa" w:w="1080"/>
          </w:tcPr>
          <w:p>
            <w:r>
              <w:rPr>
                <w:rFonts w:ascii="Calibri" w:hAnsi="Calibri"/>
                <w:sz w:val="22"/>
              </w:rPr>
              <w:t>No specific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EPS Diluted Operating — FY 2026 ($)</w:t>
            </w:r>
          </w:p>
        </w:tc>
        <w:tc>
          <w:tcPr>
            <w:tcW w:type="dxa" w:w="1080"/>
          </w:tcPr>
          <w:p>
            <w:r>
              <w:rPr>
                <w:rFonts w:ascii="Calibri" w:hAnsi="Calibri"/>
                <w:sz w:val="22"/>
              </w:rPr>
              <w:t>$17.75</w:t>
            </w:r>
          </w:p>
        </w:tc>
        <w:tc>
          <w:tcPr>
            <w:tcW w:type="dxa" w:w="1080"/>
          </w:tcPr>
          <w:p>
            <w:r>
              <w:rPr>
                <w:rFonts w:ascii="Calibri" w:hAnsi="Calibri"/>
                <w:sz w:val="22"/>
              </w:rPr>
              <w:t>$17.59</w:t>
            </w:r>
          </w:p>
        </w:tc>
        <w:tc>
          <w:tcPr>
            <w:tcW w:type="dxa" w:w="1080"/>
          </w:tcPr>
          <w:p>
            <w:r>
              <w:rPr>
                <w:rFonts w:ascii="Calibri" w:hAnsi="Calibri"/>
                <w:sz w:val="22"/>
              </w:rPr>
              <w:t>-0.9%</w:t>
            </w:r>
          </w:p>
        </w:tc>
        <w:tc>
          <w:tcPr>
            <w:tcW w:type="dxa" w:w="1080"/>
          </w:tcPr>
          <w:p>
            <w:r>
              <w:rPr>
                <w:rFonts w:ascii="Calibri" w:hAnsi="Calibri"/>
                <w:sz w:val="22"/>
              </w:rPr>
              <w:t>No specific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Auto Policies in Force — Q3 2026 (K)</w:t>
            </w:r>
          </w:p>
        </w:tc>
        <w:tc>
          <w:tcPr>
            <w:tcW w:type="dxa" w:w="1080"/>
          </w:tcPr>
          <w:p>
            <w:r>
              <w:rPr>
                <w:rFonts w:ascii="Calibri" w:hAnsi="Calibri"/>
                <w:sz w:val="22"/>
              </w:rPr>
              <w:t>36,830K</w:t>
            </w:r>
          </w:p>
        </w:tc>
        <w:tc>
          <w:tcPr>
            <w:tcW w:type="dxa" w:w="1080"/>
          </w:tcPr>
          <w:p>
            <w:r>
              <w:rPr>
                <w:rFonts w:ascii="Calibri" w:hAnsi="Calibri"/>
                <w:sz w:val="22"/>
              </w:rPr>
              <w:t>36,884K</w:t>
            </w:r>
          </w:p>
        </w:tc>
        <w:tc>
          <w:tcPr>
            <w:tcW w:type="dxa" w:w="1080"/>
          </w:tcPr>
          <w:p>
            <w:r>
              <w:rPr>
                <w:rFonts w:ascii="Calibri" w:hAnsi="Calibri"/>
                <w:sz w:val="22"/>
              </w:rPr>
              <w:t>+0.1%</w:t>
            </w:r>
          </w:p>
        </w:tc>
        <w:tc>
          <w:tcPr>
            <w:tcW w:type="dxa" w:w="1080"/>
          </w:tcPr>
          <w:p>
            <w:r>
              <w:rPr>
                <w:rFonts w:ascii="Calibri" w:hAnsi="Calibri"/>
                <w:sz w:val="22"/>
              </w:rPr>
              <w:t>No specific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Investment Income — Q3 2026 ($M)</w:t>
            </w:r>
          </w:p>
        </w:tc>
        <w:tc>
          <w:tcPr>
            <w:tcW w:type="dxa" w:w="1080"/>
          </w:tcPr>
          <w:p>
            <w:r>
              <w:rPr>
                <w:rFonts w:ascii="Calibri" w:hAnsi="Calibri"/>
                <w:sz w:val="22"/>
              </w:rPr>
              <w:t>$1,007M</w:t>
            </w:r>
          </w:p>
        </w:tc>
        <w:tc>
          <w:tcPr>
            <w:tcW w:type="dxa" w:w="1080"/>
          </w:tcPr>
          <w:p>
            <w:r>
              <w:rPr>
                <w:rFonts w:ascii="Calibri" w:hAnsi="Calibri"/>
                <w:sz w:val="22"/>
              </w:rPr>
              <w:t>$1,009M</w:t>
            </w:r>
          </w:p>
        </w:tc>
        <w:tc>
          <w:tcPr>
            <w:tcW w:type="dxa" w:w="1080"/>
          </w:tcPr>
          <w:p>
            <w:r>
              <w:rPr>
                <w:rFonts w:ascii="Calibri" w:hAnsi="Calibri"/>
                <w:sz w:val="22"/>
              </w:rPr>
              <w:t>+0.2%</w:t>
            </w:r>
          </w:p>
        </w:tc>
        <w:tc>
          <w:tcPr>
            <w:tcW w:type="dxa" w:w="1080"/>
          </w:tcPr>
          <w:p>
            <w:r>
              <w:rPr>
                <w:rFonts w:ascii="Calibri" w:hAnsi="Calibri"/>
                <w:sz w:val="22"/>
              </w:rPr>
              <w:t>No specific guidance; 4.2% book yield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Source: Visible Alpha Consensus and Actuals Data. Estimates are remarkably stable post-Q2 print, suggesting the market has largely digested the Q2 results. The key divergence is the combined ratio estimate for Q3 (91.9%) which is significantly above PGR’s recent actuals, creating a low bar for an underwriting beat. FY 2026 EPS consensus of $17.59 implies a modest step-down from the $17.75 post-Q2 baseline, reflecting the competitive growth environment.</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PGR has underperformed the S&amp;P 500 since Q2 2026 earnings (up ~4.6% vs. SPY +8.2%), with the stock experiencing a sharp spike to ~$234 in early July before pulling back sharply on July 15 (Q2 earnings day) — suggesting the </w:t>
      </w:r>
      <w:r>
        <w:rPr>
          <w:rFonts w:ascii="Calibri" w:hAnsi="Calibri"/>
          <w:b/>
          <w:color w:val="525866"/>
          <w:sz w:val="22"/>
        </w:rPr>
        <w:t>market sold the news</w:t>
      </w:r>
      <w:r>
        <w:rPr>
          <w:rFonts w:ascii="Calibri" w:hAnsi="Calibri"/>
          <w:color w:val="525866"/>
          <w:sz w:val="22"/>
        </w:rPr>
        <w:t xml:space="preserve"> despite a solid Q2 print, driven by concerns about growth deceleration and the competitive environment.</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PGR vs. S&amp;P 500 (SPY) — Indexed to 100 at Q2 2026 Earnings (April 15, 2026). Sector ETF (KIE — SPDR S&amp;P Insurance ETF) data unavailable for the period. Source: Stock Price Data.</w:t>
      </w:r>
    </w:p>
    <w:p>
      <w:r>
        <w:rPr>
          <w:rFonts w:ascii="Calibri" w:hAnsi="Calibri"/>
          <w:b/>
          <w:color w:val="525866"/>
          <w:sz w:val="22"/>
        </w:rPr>
        <w:t xml:space="preserve">Key observations: </w:t>
      </w:r>
      <w:r>
        <w:rPr>
          <w:rFonts w:ascii="Calibri" w:hAnsi="Calibri"/>
          <w:color w:val="525866"/>
          <w:sz w:val="22"/>
        </w:rPr>
        <w:t>(1) PGR rallied from $201 at Q1 earnings (Apr 15) to a peak of ~$234 in early July, driven by strong monthly data releases showing May combined ratio of 82.1% and continued PIF growth. (2) The stock sold off sharply on July 15 (Q2 earnings day) from ~$234 to ~$205, a ~12% single-day decline, as the market focused on NPW growth deceleration (+5% YoY) and the competitive environment despite a solid combined ratio of 87.3%. (3) The stock has partially recovered to ~$210 as of August 3, with Morgan Stanley upgrading the stock post-earnings. (4) PGR has underperformed SPY by approximately 3.6 percentage points since Q1 earnings, suggesting the market is pricing in growth normalization rather than a re-acceleration. The August 4 Robinson deep dive is the next key catalyst.</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Q2 earnings is the </w:t>
      </w:r>
      <w:r>
        <w:rPr>
          <w:rFonts w:ascii="Calibri" w:hAnsi="Calibri"/>
          <w:b/>
          <w:color w:val="525866"/>
          <w:sz w:val="22"/>
        </w:rPr>
        <w:t>August 4 Robinson/property investor deep dive</w:t>
      </w:r>
      <w:r>
        <w:rPr>
          <w:rFonts w:ascii="Calibri" w:hAnsi="Calibri"/>
          <w:color w:val="525866"/>
          <w:sz w:val="22"/>
        </w:rPr>
        <w:t xml:space="preserve"> — management has framed this as a $40–$50B top-line opportunity and the primary next growth frontier, making it the single most important near-term catalyst for the stock’s re-rating.</w:t>
      </w:r>
    </w:p>
    <w:p>
      <w:pPr>
        <w:pStyle w:val="ListBullet"/>
        <w:ind w:left="360" w:hanging="360"/>
      </w:pPr>
      <w:r>
        <w:rPr>
          <w:rFonts w:ascii="Calibri" w:hAnsi="Calibri"/>
          <w:b/>
          <w:color w:val="525866"/>
          <w:sz w:val="22"/>
        </w:rPr>
        <w:t>August 4, 2026 — Robinson Segment Investor Deep Dive (Scheduled):</w:t>
      </w:r>
      <w:r>
        <w:rPr>
          <w:rFonts w:ascii="Calibri" w:hAnsi="Calibri"/>
          <w:color w:val="525866"/>
          <w:sz w:val="22"/>
        </w:rPr>
        <w:t xml:space="preserve"> PGR confirmed a 90-minute Q2 2026 investor relations call beginning with a 45-minute presentation on the Robinson consumer segment (bundled home + auto), followed by Q&amp;A with CEO Tricia Griffith and new CFO Andrew Quigg. Management has framed Robinson as a $40–$50B top-line opportunity where PGR is significantly underpenetrated. </w:t>
      </w:r>
    </w:p>
    <w:p>
      <w:pPr>
        <w:pStyle w:val="ListBullet"/>
        <w:ind w:left="360" w:hanging="360"/>
      </w:pPr>
      <w:r>
        <w:rPr>
          <w:rFonts w:ascii="Calibri" w:hAnsi="Calibri"/>
          <w:b/>
          <w:color w:val="525866"/>
          <w:sz w:val="22"/>
        </w:rPr>
        <w:t>July 15, 2026 — Q2 2026 Earnings Release:</w:t>
      </w:r>
      <w:r>
        <w:rPr>
          <w:rFonts w:ascii="Calibri" w:hAnsi="Calibri"/>
          <w:color w:val="525866"/>
          <w:sz w:val="22"/>
        </w:rPr>
        <w:t xml:space="preserve"> PGR reported Q2 2026 NPW of $21.1B (+5% YoY), combined ratio of 87.3% (vs. 86.2% prior year), and EPS of $5.67 (+5% YoY). Total policies in force reached 40,086K (+7% YoY). The combined ratio included a favorable 11.7-point actuarial methodology change for property IBNR reserves (one-time, no future impact). The stock sold off ~12% on the day despite the solid print, reflecting market concern about growth deceleration.</w:t>
      </w:r>
    </w:p>
    <w:p>
      <w:pPr>
        <w:pStyle w:val="ListBullet"/>
        <w:ind w:left="360" w:hanging="360"/>
      </w:pPr>
      <w:r>
        <w:rPr>
          <w:rFonts w:ascii="Calibri" w:hAnsi="Calibri"/>
          <w:b/>
          <w:color w:val="525866"/>
          <w:sz w:val="22"/>
        </w:rPr>
        <w:t>July 2026 — Morgan Stanley Upgrade:</w:t>
      </w:r>
      <w:r>
        <w:rPr>
          <w:rFonts w:ascii="Calibri" w:hAnsi="Calibri"/>
          <w:color w:val="525866"/>
          <w:sz w:val="22"/>
        </w:rPr>
        <w:t xml:space="preserve"> Morgan Stanley upgraded PGR following the Q2 earnings selloff, citing the stock’s attractive valuation after the pullback. This helped stabilize the stock in the $205–$220 range post-earnings.</w:t>
      </w:r>
    </w:p>
    <w:p>
      <w:pPr>
        <w:pStyle w:val="ListBullet"/>
        <w:ind w:left="360" w:hanging="360"/>
      </w:pPr>
      <w:r>
        <w:rPr>
          <w:rFonts w:ascii="Calibri" w:hAnsi="Calibri"/>
          <w:b/>
          <w:color w:val="525866"/>
          <w:sz w:val="22"/>
        </w:rPr>
        <w:t>June 29, 2026 — Wells Fargo Downgrade:</w:t>
      </w:r>
      <w:r>
        <w:rPr>
          <w:rFonts w:ascii="Calibri" w:hAnsi="Calibri"/>
          <w:color w:val="525866"/>
          <w:sz w:val="22"/>
        </w:rPr>
        <w:t xml:space="preserve"> Wells Fargo downgraded PGR to Underweight from Equal Weight with a price target of $205 (from $219), citing growth concerns ahead of Q2 earnings. This was a notable pre-earnings bearish call.</w:t>
      </w:r>
    </w:p>
    <w:p>
      <w:pPr>
        <w:pStyle w:val="ListBullet"/>
        <w:ind w:left="360" w:hanging="360"/>
      </w:pPr>
      <w:r>
        <w:rPr>
          <w:rFonts w:ascii="Calibri" w:hAnsi="Calibri"/>
          <w:b/>
          <w:color w:val="525866"/>
          <w:sz w:val="22"/>
        </w:rPr>
        <w:t>June 30, 2026 — UBS Price Target Raise:</w:t>
      </w:r>
      <w:r>
        <w:rPr>
          <w:rFonts w:ascii="Calibri" w:hAnsi="Calibri"/>
          <w:color w:val="525866"/>
          <w:sz w:val="22"/>
        </w:rPr>
        <w:t xml:space="preserve"> UBS raised its price target on PGR to $230 from $220 while maintaining a Neutral rating, updating estimates ahead of Q2 earnings.</w:t>
      </w:r>
    </w:p>
    <w:p>
      <w:pPr>
        <w:pStyle w:val="ListBullet"/>
        <w:ind w:left="360" w:hanging="360"/>
      </w:pPr>
      <w:r>
        <w:rPr>
          <w:rFonts w:ascii="Calibri" w:hAnsi="Calibri"/>
          <w:b/>
          <w:color w:val="525866"/>
          <w:sz w:val="22"/>
        </w:rPr>
        <w:t>June 17, 2026 — Personal Lines President Retirement Announced:</w:t>
      </w:r>
      <w:r>
        <w:rPr>
          <w:rFonts w:ascii="Calibri" w:hAnsi="Calibri"/>
          <w:color w:val="525866"/>
          <w:sz w:val="22"/>
        </w:rPr>
        <w:t xml:space="preserve"> Patrick K. Callahan (Personal Lines President) announced retirement effective January 2027. Lori Niederst (CRM President) promoted to Chief Personal Lines Officer effective July 4, 2026. Heather Day named CRM President. This is the second major leadership transition in 2026 alongside the CFO change. </w:t>
      </w:r>
    </w:p>
    <w:p>
      <w:pPr>
        <w:pStyle w:val="ListBullet"/>
        <w:ind w:left="360" w:hanging="360"/>
      </w:pPr>
      <w:r>
        <w:rPr>
          <w:rFonts w:ascii="Calibri" w:hAnsi="Calibri"/>
          <w:b/>
          <w:color w:val="525866"/>
          <w:sz w:val="22"/>
        </w:rPr>
        <w:t>June 17, 2026 — May 2026 Monthly Results:</w:t>
      </w:r>
      <w:r>
        <w:rPr>
          <w:rFonts w:ascii="Calibri" w:hAnsi="Calibri"/>
          <w:color w:val="525866"/>
          <w:sz w:val="22"/>
        </w:rPr>
        <w:t xml:space="preserve"> PGR reported May 2026 combined ratio of 82.1% (vs. 86.9% in May 2025), NPW of $7.0B (+6% YoY), and EPS of $2.47 (+36% YoY). Strong May results drove the stock to its July peak.</w:t>
      </w:r>
    </w:p>
    <w:p>
      <w:pPr>
        <w:pStyle w:val="ListBullet"/>
        <w:ind w:left="360" w:hanging="360"/>
      </w:pPr>
      <w:r>
        <w:rPr>
          <w:rFonts w:ascii="Calibri" w:hAnsi="Calibri"/>
          <w:b/>
          <w:color w:val="525866"/>
          <w:sz w:val="22"/>
        </w:rPr>
        <w:t>May 8, 2026 — CFO Appointment &amp; Share Buyback Renewal:</w:t>
      </w:r>
      <w:r>
        <w:rPr>
          <w:rFonts w:ascii="Calibri" w:hAnsi="Calibri"/>
          <w:color w:val="525866"/>
          <w:sz w:val="22"/>
        </w:rPr>
        <w:t xml:space="preserve"> Board formally elected Andrew Quigg as CFO effective July 4, 2026 (replacing retiring John Sauerland). Board also renewed 25M share buyback authorization and declared $0.10/share quarterly dividend payable July 10.</w:t>
      </w:r>
    </w:p>
    <w:p>
      <w:pPr>
        <w:pStyle w:val="ListBullet"/>
        <w:ind w:left="360" w:hanging="360"/>
      </w:pPr>
      <w:r>
        <w:rPr>
          <w:rFonts w:ascii="Calibri" w:hAnsi="Calibri"/>
          <w:b/>
          <w:color w:val="525866"/>
          <w:sz w:val="22"/>
        </w:rPr>
        <w:t>Ongoing — Competitive Environment:</w:t>
      </w:r>
      <w:r>
        <w:rPr>
          <w:rFonts w:ascii="Calibri" w:hAnsi="Calibri"/>
          <w:color w:val="525866"/>
          <w:sz w:val="22"/>
        </w:rPr>
        <w:t xml:space="preserve"> The personal auto market remains highly competitive with peers cutting rates to grow. TRV reported flat renewal premium change in auto (Q2 2026) and noted “every company out there is looking to grow and cutting prices.” HIG reported a 10% decline in personal auto written premium, citing competitive market pressure. This validates PGR’s own commentary about the soft market environment.</w:t>
      </w:r>
    </w:p>
    <w:p>
      <w:r>
        <w:br w:type="page"/>
      </w:r>
    </w:p>
    <w:p>
      <w:pPr>
        <w:pStyle w:val="Heading2"/>
      </w:pPr>
      <w:r>
        <w:rPr>
          <w:rFonts w:ascii="Calibri" w:hAnsi="Calibri"/>
          <w:b/>
          <w:color w:val="3B4259"/>
          <w:sz w:val="28"/>
        </w:rPr>
        <w:t>7. Peer Commentaries — Q2 2026 Read-Through</w:t>
      </w:r>
    </w:p>
    <w:p>
      <w:r>
        <w:rPr>
          <w:rFonts w:ascii="Calibri" w:hAnsi="Calibri"/>
          <w:b/>
          <w:color w:val="525866"/>
          <w:sz w:val="22"/>
        </w:rPr>
        <w:t xml:space="preserve">Key Takeaway: </w:t>
      </w:r>
      <w:r>
        <w:rPr>
          <w:rFonts w:ascii="Calibri" w:hAnsi="Calibri"/>
          <w:color w:val="525866"/>
          <w:sz w:val="22"/>
        </w:rPr>
        <w:t xml:space="preserve">Peer Q2 2026 earnings calls (TRV, HIG, CB) collectively confirm that the personal auto market is </w:t>
      </w:r>
      <w:r>
        <w:rPr>
          <w:rFonts w:ascii="Calibri" w:hAnsi="Calibri"/>
          <w:b/>
          <w:color w:val="525866"/>
          <w:sz w:val="22"/>
        </w:rPr>
        <w:t>highly competitive with rates declining</w:t>
      </w:r>
      <w:r>
        <w:rPr>
          <w:rFonts w:ascii="Calibri" w:hAnsi="Calibri"/>
          <w:color w:val="525866"/>
          <w:sz w:val="22"/>
        </w:rPr>
        <w:t>, frequency and severity trends remain benign (favorable for PGR’s Q3 combined ratio), and growth is being sacrificed for profitability by most peers — all of which is constructive for PGR’s underwriting outlook but reinforces the growth deceleration narrative.</w:t>
      </w:r>
    </w:p>
    <w:p>
      <w:r>
        <w:rPr>
          <w:rFonts w:ascii="Calibri" w:hAnsi="Calibri"/>
          <w:b/>
          <w:color w:val="525866"/>
          <w:sz w:val="22"/>
        </w:rPr>
        <w:t xml:space="preserve">Note: </w:t>
      </w:r>
      <w:r>
        <w:rPr>
          <w:rFonts w:ascii="Calibri" w:hAnsi="Calibri"/>
          <w:color w:val="525866"/>
          <w:sz w:val="22"/>
        </w:rPr>
        <w:t>All peer commentary below is from Q2 2026 earnings calls (reported July 2026), which is the current reporting quarter and directly relevant to PGR’s Q3 2026 setup. CB is excluded from personal auto read-through as Chubb does not compete in the general market auto segment.</w:t>
      </w:r>
    </w:p>
    <w:p>
      <w:pPr>
        <w:pStyle w:val="Heading3"/>
      </w:pPr>
      <w:r>
        <w:rPr>
          <w:rFonts w:ascii="Calibri" w:hAnsi="Calibri"/>
          <w:b/>
          <w:color w:val="3B4259"/>
          <w:sz w:val="24"/>
        </w:rPr>
        <w:t>Travelers (TRV) — Q2 2026 Earnings Call (July 17, 2026)</w:t>
      </w:r>
    </w:p>
    <w:p>
      <w:r>
        <w:rPr>
          <w:rFonts w:ascii="Calibri" w:hAnsi="Calibri"/>
          <w:i/>
          <w:color w:val="525866"/>
          <w:sz w:val="22"/>
        </w:rPr>
        <w:t>Most relevant peer for PGR given TRV’s significant personal auto franchise.</w:t>
      </w:r>
    </w:p>
    <w:p>
      <w:pPr>
        <w:pStyle w:val="ListBullet"/>
        <w:ind w:left="360" w:hanging="360"/>
      </w:pPr>
      <w:r>
        <w:rPr>
          <w:rFonts w:ascii="Calibri" w:hAnsi="Calibri"/>
          <w:b/>
          <w:color w:val="525866"/>
          <w:sz w:val="22"/>
        </w:rPr>
        <w:t>Benign frequency &amp; severity — constructive for PGR Q3 CR:</w:t>
      </w:r>
      <w:r>
        <w:rPr>
          <w:rFonts w:ascii="Calibri" w:hAnsi="Calibri"/>
          <w:color w:val="525866"/>
          <w:sz w:val="22"/>
        </w:rPr>
        <w:t xml:space="preserve"> TRV reported that its strong Q2 auto results were driven by “favorable loss experience across coverages” — “a combination of favorable frequency and severity.” TRV noted that frequency improvements are driven by “improving vehicle technology and advanced safety features” and “less distraction.” Critically, TRV stated there is “not a ton of evidence, at least at this point, that there have been material changes in driving behavior related to gas prices, particularly as you look through the first part of this year” — directly addressing PGR’s Q1 macro concern about fuel price impacts on frequency. </w:t>
      </w:r>
    </w:p>
    <w:p>
      <w:pPr>
        <w:pStyle w:val="ListBullet"/>
        <w:ind w:left="360" w:hanging="360"/>
      </w:pPr>
      <w:r>
        <w:rPr>
          <w:rFonts w:ascii="Calibri" w:hAnsi="Calibri"/>
          <w:b/>
          <w:color w:val="525866"/>
          <w:sz w:val="22"/>
        </w:rPr>
        <w:t>Rates declining across personal auto — validates PGR’s competitive commentary:</w:t>
      </w:r>
      <w:r>
        <w:rPr>
          <w:rFonts w:ascii="Calibri" w:hAnsi="Calibri"/>
          <w:color w:val="525866"/>
          <w:sz w:val="22"/>
        </w:rPr>
        <w:t xml:space="preserve"> TRV explicitly stated that “rate continues to be decreasing in personal auto” and that “it seems like every company out there is looking to grow and cutting prices.” TRV’s own renewal premium change was flat in Q2. This validates PGR’s Q1 commentary about the soft market and suggests the competitive environment has not eased heading into Q3.</w:t>
      </w:r>
    </w:p>
    <w:p>
      <w:pPr>
        <w:pStyle w:val="ListBullet"/>
        <w:ind w:left="360" w:hanging="360"/>
      </w:pPr>
      <w:r>
        <w:rPr>
          <w:rFonts w:ascii="Calibri" w:hAnsi="Calibri"/>
          <w:b/>
          <w:color w:val="525866"/>
          <w:sz w:val="22"/>
        </w:rPr>
        <w:t>TRV auto combined ratio 82.8% (underlying 85.8%) — industry profitability remains strong:</w:t>
      </w:r>
      <w:r>
        <w:rPr>
          <w:rFonts w:ascii="Calibri" w:hAnsi="Calibri"/>
          <w:color w:val="525866"/>
          <w:sz w:val="22"/>
        </w:rPr>
        <w:t xml:space="preserve"> TRV’s Q2 auto combined ratio of 82.8% (underlying 85.8%, improving 3+ pts YoY) confirms that industry underwriting profitability remains excellent, which is why competition is intensifying. TRV also recorded $184M of favorable prior year reserve development in personal insurance. Strong industry profitability is a double-edged sword for PGR: it validates PGR’s own margins but also means competitors have the financial capacity to compete aggressively on price.</w:t>
      </w:r>
    </w:p>
    <w:p>
      <w:pPr>
        <w:pStyle w:val="ListBullet"/>
        <w:ind w:left="360" w:hanging="360"/>
      </w:pPr>
      <w:r>
        <w:rPr>
          <w:rFonts w:ascii="Calibri" w:hAnsi="Calibri"/>
          <w:b/>
          <w:color w:val="525866"/>
          <w:sz w:val="22"/>
        </w:rPr>
        <w:t>TRV strategy: match price to risk, not chase growth:</w:t>
      </w:r>
      <w:r>
        <w:rPr>
          <w:rFonts w:ascii="Calibri" w:hAnsi="Calibri"/>
          <w:color w:val="525866"/>
          <w:sz w:val="22"/>
        </w:rPr>
        <w:t xml:space="preserve"> TRV management explicitly called lowering prices to grow a “fool’s errand” and stated their strategy is to “match price to risk.” TRV’s retention was 82% in auto, consistent with recent periods. This disciplined approach by TRV means PGR faces a rational competitor, but also that TRV is not aggressively taking share — leaving room for PGR to continue gaining.</w:t>
      </w:r>
    </w:p>
    <w:p>
      <w:pPr>
        <w:pStyle w:val="Heading3"/>
      </w:pPr>
      <w:r>
        <w:rPr>
          <w:rFonts w:ascii="Calibri" w:hAnsi="Calibri"/>
          <w:b/>
          <w:color w:val="3B4259"/>
          <w:sz w:val="24"/>
        </w:rPr>
        <w:t>The Hartford (HIG) — Q2 2026 Earnings Call (July 24, 2026)</w:t>
      </w:r>
    </w:p>
    <w:p>
      <w:r>
        <w:rPr>
          <w:rFonts w:ascii="Calibri" w:hAnsi="Calibri"/>
          <w:i/>
          <w:color w:val="525866"/>
          <w:sz w:val="22"/>
        </w:rPr>
        <w:t>Relevant for personal auto competitive dynamics and market share read-through.</w:t>
      </w:r>
    </w:p>
    <w:p>
      <w:pPr>
        <w:pStyle w:val="ListBullet"/>
        <w:ind w:left="360" w:hanging="360"/>
      </w:pPr>
      <w:r>
        <w:rPr>
          <w:rFonts w:ascii="Calibri" w:hAnsi="Calibri"/>
          <w:b/>
          <w:color w:val="525866"/>
          <w:sz w:val="22"/>
        </w:rPr>
        <w:t>HIG personal auto written premium -10% YoY — market share ceding to PGR:</w:t>
      </w:r>
      <w:r>
        <w:rPr>
          <w:rFonts w:ascii="Calibri" w:hAnsi="Calibri"/>
          <w:color w:val="525866"/>
          <w:sz w:val="22"/>
        </w:rPr>
        <w:t xml:space="preserve"> HIG reported a 10% decline in personal auto written premium in Q2 2026, citing “a competitive market.” HIG’s CEO stated the direct channel “is going to continue to come under pressure” with “shopping remaining elevated” and “competition remaining strong.” This is a direct read-through for PGR: HIG is losing share in the direct channel, which is PGR’s fastest-growing segment (Direct auto PIF +10% YoY in Q2 2026). HIG’s struggles validate PGR’s market share gains.</w:t>
      </w:r>
    </w:p>
    <w:p>
      <w:pPr>
        <w:pStyle w:val="ListBullet"/>
        <w:ind w:left="360" w:hanging="360"/>
      </w:pPr>
      <w:r>
        <w:rPr>
          <w:rFonts w:ascii="Calibri" w:hAnsi="Calibri"/>
          <w:b/>
          <w:color w:val="525866"/>
          <w:sz w:val="22"/>
        </w:rPr>
        <w:t>HIG auto underlying combined ratio 86.3% (improving 1.9 pts YoY) — pricing still exceeding loss trend:</w:t>
      </w:r>
      <w:r>
        <w:rPr>
          <w:rFonts w:ascii="Calibri" w:hAnsi="Calibri"/>
          <w:color w:val="525866"/>
          <w:sz w:val="22"/>
        </w:rPr>
        <w:t xml:space="preserve"> HIG’s auto underlying combined ratio of 86.3% improved 1.9 pts YoY, with management noting “pricing continues to exceed loss trend.” HIG’s renewal written pricing increases were 5.5% in auto. This confirms that loss trends remain benign across the industry, which is constructive for PGR’s Q3 combined ratio outlook.</w:t>
      </w:r>
    </w:p>
    <w:p>
      <w:pPr>
        <w:pStyle w:val="ListBullet"/>
        <w:ind w:left="360" w:hanging="360"/>
      </w:pPr>
      <w:r>
        <w:rPr>
          <w:rFonts w:ascii="Calibri" w:hAnsi="Calibri"/>
          <w:b/>
          <w:color w:val="525866"/>
          <w:sz w:val="22"/>
        </w:rPr>
        <w:t>HIG agency channel strong (+7% growth) — bifurcated market dynamics:</w:t>
      </w:r>
      <w:r>
        <w:rPr>
          <w:rFonts w:ascii="Calibri" w:hAnsi="Calibri"/>
          <w:color w:val="525866"/>
          <w:sz w:val="22"/>
        </w:rPr>
        <w:t xml:space="preserve"> While HIG’s direct channel is under pressure, agency growth remained strong at +7% YoY. HIG management described channel dynamics as “bifurcated” near-term, with the agency side performing well. This is relevant for PGR’s agency channel (Agency auto PIF +8% YoY in Q2 2026), suggesting the agency market remains healthy even as direct competition intensifies.</w:t>
      </w:r>
    </w:p>
    <w:p>
      <w:pPr>
        <w:pStyle w:val="ListBullet"/>
        <w:ind w:left="360" w:hanging="360"/>
      </w:pPr>
      <w:r>
        <w:rPr>
          <w:rFonts w:ascii="Calibri" w:hAnsi="Calibri"/>
          <w:b/>
          <w:color w:val="525866"/>
          <w:sz w:val="22"/>
        </w:rPr>
        <w:t>HIG acknowledges “increasing pressure” to hit growth goals:</w:t>
      </w:r>
      <w:r>
        <w:rPr>
          <w:rFonts w:ascii="Calibri" w:hAnsi="Calibri"/>
          <w:color w:val="525866"/>
          <w:sz w:val="22"/>
        </w:rPr>
        <w:t xml:space="preserve"> HIG management stated there is “increasing pressure in personal insurance to hit the goals there” given “growth dynamics and the competitive marketplace.” HIG is rolling out a contemporary product offering (now in 23 states, targeting 30 by early 2027). This suggests HIG is investing to compete more effectively in the future, which could intensify competition for PGR in the agency channel over the next 12–18 months.</w:t>
      </w:r>
    </w:p>
    <w:p>
      <w:pPr>
        <w:pStyle w:val="Heading3"/>
      </w:pPr>
      <w:r>
        <w:rPr>
          <w:rFonts w:ascii="Calibri" w:hAnsi="Calibri"/>
          <w:b/>
          <w:color w:val="3B4259"/>
          <w:sz w:val="24"/>
        </w:rPr>
        <w:t>Chubb (CB) — Q2 2026 Earnings Call (July 22, 2026)</w:t>
      </w:r>
    </w:p>
    <w:p>
      <w:r>
        <w:rPr>
          <w:rFonts w:ascii="Calibri" w:hAnsi="Calibri"/>
          <w:i/>
          <w:color w:val="525866"/>
          <w:sz w:val="22"/>
        </w:rPr>
        <w:t>Limited direct read-through — CB does not compete in general market personal auto.</w:t>
      </w:r>
    </w:p>
    <w:p>
      <w:pPr>
        <w:pStyle w:val="ListBullet"/>
        <w:ind w:left="360" w:hanging="360"/>
      </w:pPr>
      <w:r>
        <w:rPr>
          <w:rFonts w:ascii="Calibri" w:hAnsi="Calibri"/>
          <w:b/>
          <w:color w:val="525866"/>
          <w:sz w:val="22"/>
        </w:rPr>
        <w:t>CB not a direct competitor in general market auto:</w:t>
      </w:r>
      <w:r>
        <w:rPr>
          <w:rFonts w:ascii="Calibri" w:hAnsi="Calibri"/>
          <w:color w:val="525866"/>
          <w:sz w:val="22"/>
        </w:rPr>
        <w:t xml:space="preserve"> Chubb CEO Evan Greenberg explicitly stated that “most of the discussion around personal lines in the United States is general market auto” and that “we’re not active within that.” CB operates exclusively in the high net worth personal lines segment. As a result, CB’s Q2 2026 results (North America Personal Lines premium growth of 6%, renewal retention of 90%) have no direct read-through for PGR’s general market auto business.</w:t>
      </w:r>
    </w:p>
    <w:p>
      <w:pPr>
        <w:pStyle w:val="ListBullet"/>
        <w:ind w:left="360" w:hanging="360"/>
      </w:pPr>
      <w:r>
        <w:rPr>
          <w:rFonts w:ascii="Calibri" w:hAnsi="Calibri"/>
          <w:b/>
          <w:color w:val="525866"/>
          <w:sz w:val="22"/>
        </w:rPr>
        <w:t>CB high net worth segment: pricing driven by coverage complexity, not price competition:</w:t>
      </w:r>
      <w:r>
        <w:rPr>
          <w:rFonts w:ascii="Calibri" w:hAnsi="Calibri"/>
          <w:color w:val="525866"/>
          <w:sz w:val="22"/>
        </w:rPr>
        <w:t xml:space="preserve"> CB’s high net worth customers are “buying for a lot more than price” — prioritizing coverage richness and service. This is a fundamentally different competitive dynamic from PGR’s market, where price competitiveness is the primary driver of shopping and conversion. CB’s results are not a meaningful read-through for PGR’s Q3 setup.</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Peer Signal</w:t>
            </w:r>
          </w:p>
        </w:tc>
        <w:tc>
          <w:tcPr>
            <w:tcW w:type="dxa" w:w="2160"/>
            <w:shd w:val="clear" w:color="auto" w:fill="3B4259"/>
          </w:tcPr>
          <w:p>
            <w:r>
              <w:rPr>
                <w:rFonts w:ascii="Calibri" w:hAnsi="Calibri"/>
                <w:b/>
                <w:color w:val="FFFFFF"/>
                <w:sz w:val="22"/>
              </w:rPr>
              <w:t>PGR Implication</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Frequency &amp; Severity</w:t>
            </w:r>
          </w:p>
        </w:tc>
        <w:tc>
          <w:tcPr>
            <w:tcW w:type="dxa" w:w="2160"/>
          </w:tcPr>
          <w:p>
            <w:r>
              <w:rPr>
                <w:rFonts w:ascii="Calibri" w:hAnsi="Calibri"/>
                <w:sz w:val="22"/>
              </w:rPr>
              <w:t>TRV: favorable across coverages; no gas price impact on driving behavior</w:t>
            </w:r>
          </w:p>
        </w:tc>
        <w:tc>
          <w:tcPr>
            <w:tcW w:type="dxa" w:w="2160"/>
          </w:tcPr>
          <w:p>
            <w:r>
              <w:rPr>
                <w:rFonts w:ascii="Calibri" w:hAnsi="Calibri"/>
                <w:sz w:val="22"/>
              </w:rPr>
              <w:t>Constructive for Q3 combined ratio; PGR’s macro concern not materializing</w:t>
            </w:r>
          </w:p>
        </w:tc>
        <w:tc>
          <w:tcPr>
            <w:tcW w:type="dxa" w:w="2160"/>
          </w:tcPr>
          <w:p>
            <w:r>
              <w:rPr>
                <w:rFonts w:ascii="Calibri" w:hAnsi="Calibri"/>
                <w:b/>
                <w:color w:val="30A46C"/>
                <w:sz w:val="22"/>
              </w:rPr>
              <w:t>Positive</w:t>
            </w:r>
          </w:p>
        </w:tc>
      </w:tr>
      <w:tr>
        <w:tc>
          <w:tcPr>
            <w:tcW w:type="dxa" w:w="2160"/>
          </w:tcPr>
          <w:p>
            <w:r>
              <w:rPr>
                <w:rFonts w:ascii="Calibri" w:hAnsi="Calibri"/>
                <w:sz w:val="22"/>
              </w:rPr>
              <w:t>Industry Profitability</w:t>
            </w:r>
          </w:p>
        </w:tc>
        <w:tc>
          <w:tcPr>
            <w:tcW w:type="dxa" w:w="2160"/>
          </w:tcPr>
          <w:p>
            <w:r>
              <w:rPr>
                <w:rFonts w:ascii="Calibri" w:hAnsi="Calibri"/>
                <w:sz w:val="22"/>
              </w:rPr>
              <w:t>TRV auto underlying CR 85.8%; HIG auto underlying CR 86.3%; both improving YoY</w:t>
            </w:r>
          </w:p>
        </w:tc>
        <w:tc>
          <w:tcPr>
            <w:tcW w:type="dxa" w:w="2160"/>
          </w:tcPr>
          <w:p>
            <w:r>
              <w:rPr>
                <w:rFonts w:ascii="Calibri" w:hAnsi="Calibri"/>
                <w:sz w:val="22"/>
              </w:rPr>
              <w:t>Strong industry margins validate PGR’s own profitability; but also fuel competitive pricing pressure</w:t>
            </w:r>
          </w:p>
        </w:tc>
        <w:tc>
          <w:tcPr>
            <w:tcW w:type="dxa" w:w="2160"/>
          </w:tcPr>
          <w:p>
            <w:r>
              <w:rPr>
                <w:rFonts w:ascii="Calibri" w:hAnsi="Calibri"/>
                <w:sz w:val="22"/>
              </w:rPr>
              <w:t>Mixed</w:t>
            </w:r>
          </w:p>
        </w:tc>
      </w:tr>
      <w:tr>
        <w:tc>
          <w:tcPr>
            <w:tcW w:type="dxa" w:w="2160"/>
          </w:tcPr>
          <w:p>
            <w:r>
              <w:rPr>
                <w:rFonts w:ascii="Calibri" w:hAnsi="Calibri"/>
                <w:sz w:val="22"/>
              </w:rPr>
              <w:t>Rate Environment</w:t>
            </w:r>
          </w:p>
        </w:tc>
        <w:tc>
          <w:tcPr>
            <w:tcW w:type="dxa" w:w="2160"/>
          </w:tcPr>
          <w:p>
            <w:r>
              <w:rPr>
                <w:rFonts w:ascii="Calibri" w:hAnsi="Calibri"/>
                <w:sz w:val="22"/>
              </w:rPr>
              <w:t>TRV: rates declining in personal auto; “every company cutting prices”; HIG: +5.5% renewal pricing</w:t>
            </w:r>
          </w:p>
        </w:tc>
        <w:tc>
          <w:tcPr>
            <w:tcW w:type="dxa" w:w="2160"/>
          </w:tcPr>
          <w:p>
            <w:r>
              <w:rPr>
                <w:rFonts w:ascii="Calibri" w:hAnsi="Calibri"/>
                <w:sz w:val="22"/>
              </w:rPr>
              <w:t>Validates PGR’s soft market commentary; competitive pressure on NPW growth likely to persist into Q3</w:t>
            </w:r>
          </w:p>
        </w:tc>
        <w:tc>
          <w:tcPr>
            <w:tcW w:type="dxa" w:w="2160"/>
          </w:tcPr>
          <w:p>
            <w:r>
              <w:rPr>
                <w:rFonts w:ascii="Calibri" w:hAnsi="Calibri"/>
                <w:b/>
                <w:color w:val="E5484D"/>
                <w:sz w:val="22"/>
              </w:rPr>
              <w:t>Negative</w:t>
            </w:r>
          </w:p>
        </w:tc>
      </w:tr>
      <w:tr>
        <w:tc>
          <w:tcPr>
            <w:tcW w:type="dxa" w:w="2160"/>
          </w:tcPr>
          <w:p>
            <w:r>
              <w:rPr>
                <w:rFonts w:ascii="Calibri" w:hAnsi="Calibri"/>
                <w:sz w:val="22"/>
              </w:rPr>
              <w:t>Market Share Dynamics</w:t>
            </w:r>
          </w:p>
        </w:tc>
        <w:tc>
          <w:tcPr>
            <w:tcW w:type="dxa" w:w="2160"/>
          </w:tcPr>
          <w:p>
            <w:r>
              <w:rPr>
                <w:rFonts w:ascii="Calibri" w:hAnsi="Calibri"/>
                <w:sz w:val="22"/>
              </w:rPr>
              <w:t>HIG personal auto NPW -10% YoY; direct channel under pressure; agency +7%</w:t>
            </w:r>
          </w:p>
        </w:tc>
        <w:tc>
          <w:tcPr>
            <w:tcW w:type="dxa" w:w="2160"/>
          </w:tcPr>
          <w:p>
            <w:r>
              <w:rPr>
                <w:rFonts w:ascii="Calibri" w:hAnsi="Calibri"/>
                <w:sz w:val="22"/>
              </w:rPr>
              <w:t>HIG losing share in direct channel — PGR’s primary growth engine; validates PGR’s continued share gains</w:t>
            </w:r>
          </w:p>
        </w:tc>
        <w:tc>
          <w:tcPr>
            <w:tcW w:type="dxa" w:w="2160"/>
          </w:tcPr>
          <w:p>
            <w:r>
              <w:rPr>
                <w:rFonts w:ascii="Calibri" w:hAnsi="Calibri"/>
                <w:b/>
                <w:color w:val="30A46C"/>
                <w:sz w:val="22"/>
              </w:rPr>
              <w:t>Positive</w:t>
            </w:r>
          </w:p>
        </w:tc>
      </w:tr>
      <w:tr>
        <w:tc>
          <w:tcPr>
            <w:tcW w:type="dxa" w:w="2160"/>
          </w:tcPr>
          <w:p>
            <w:r>
              <w:rPr>
                <w:rFonts w:ascii="Calibri" w:hAnsi="Calibri"/>
                <w:sz w:val="22"/>
              </w:rPr>
              <w:t>Prior Year Reserve Development</w:t>
            </w:r>
          </w:p>
        </w:tc>
        <w:tc>
          <w:tcPr>
            <w:tcW w:type="dxa" w:w="2160"/>
          </w:tcPr>
          <w:p>
            <w:r>
              <w:rPr>
                <w:rFonts w:ascii="Calibri" w:hAnsi="Calibri"/>
                <w:sz w:val="22"/>
              </w:rPr>
              <w:t>TRV: $184M favorable PYD in personal insurance (auto + home)</w:t>
            </w:r>
          </w:p>
        </w:tc>
        <w:tc>
          <w:tcPr>
            <w:tcW w:type="dxa" w:w="2160"/>
          </w:tcPr>
          <w:p>
            <w:r>
              <w:rPr>
                <w:rFonts w:ascii="Calibri" w:hAnsi="Calibri"/>
                <w:sz w:val="22"/>
              </w:rPr>
              <w:t>Favorable reserve development trend across industry; could provide upside to PGR’s Q3 combined ratio</w:t>
            </w:r>
          </w:p>
        </w:tc>
        <w:tc>
          <w:tcPr>
            <w:tcW w:type="dxa" w:w="2160"/>
          </w:tcPr>
          <w:p>
            <w:r>
              <w:rPr>
                <w:rFonts w:ascii="Calibri" w:hAnsi="Calibri"/>
                <w:b/>
                <w:color w:val="30A46C"/>
                <w:sz w:val="22"/>
              </w:rPr>
              <w:t>Positive</w:t>
            </w:r>
          </w:p>
        </w:tc>
      </w:tr>
      <w:tr>
        <w:tc>
          <w:tcPr>
            <w:tcW w:type="dxa" w:w="2160"/>
          </w:tcPr>
          <w:p>
            <w:r>
              <w:rPr>
                <w:rFonts w:ascii="Calibri" w:hAnsi="Calibri"/>
                <w:sz w:val="22"/>
              </w:rPr>
              <w:t>Future Competition</w:t>
            </w:r>
          </w:p>
        </w:tc>
        <w:tc>
          <w:tcPr>
            <w:tcW w:type="dxa" w:w="2160"/>
          </w:tcPr>
          <w:p>
            <w:r>
              <w:rPr>
                <w:rFonts w:ascii="Calibri" w:hAnsi="Calibri"/>
                <w:sz w:val="22"/>
              </w:rPr>
              <w:t>HIG rolling out new product in 30 states by early 2027; investing in competitive pricing capabilities</w:t>
            </w:r>
          </w:p>
        </w:tc>
        <w:tc>
          <w:tcPr>
            <w:tcW w:type="dxa" w:w="2160"/>
          </w:tcPr>
          <w:p>
            <w:r>
              <w:rPr>
                <w:rFonts w:ascii="Calibri" w:hAnsi="Calibri"/>
                <w:sz w:val="22"/>
              </w:rPr>
              <w:t>HIG becoming a more formidable competitor in agency channel over next 12–18 months; watch for impact on PGR agency growth</w:t>
            </w:r>
          </w:p>
        </w:tc>
        <w:tc>
          <w:tcPr>
            <w:tcW w:type="dxa" w:w="2160"/>
          </w:tcPr>
          <w:p>
            <w:r>
              <w:rPr>
                <w:rFonts w:ascii="Calibri" w:hAnsi="Calibri"/>
                <w:b/>
                <w:color w:val="E5484D"/>
                <w:sz w:val="22"/>
              </w:rPr>
              <w:t>Negative (longer-term)</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All insider transactions since Q1 2026 earnings are </w:t>
      </w:r>
      <w:r>
        <w:rPr>
          <w:rFonts w:ascii="Calibri" w:hAnsi="Calibri"/>
          <w:b/>
          <w:color w:val="525866"/>
          <w:sz w:val="22"/>
        </w:rPr>
        <w:t>10b5-1 planned sales</w:t>
      </w:r>
      <w:r>
        <w:rPr>
          <w:rFonts w:ascii="Calibri" w:hAnsi="Calibri"/>
          <w:color w:val="525866"/>
          <w:sz w:val="22"/>
        </w:rPr>
        <w:t xml:space="preserve"> (pre-scheduled), with the exception of two discretionary director sales. The cluster of 10b5-1 sales in late July (just before Q3 begins) is routine and not a negative signal; the one notable item is a </w:t>
      </w:r>
      <w:r>
        <w:rPr>
          <w:rFonts w:ascii="Calibri" w:hAnsi="Calibri"/>
          <w:b/>
          <w:color w:val="525866"/>
          <w:sz w:val="22"/>
        </w:rPr>
        <w:t>discretionary sale by Director Jeffrey Kelly</w:t>
      </w:r>
      <w:r>
        <w:rPr>
          <w:rFonts w:ascii="Calibri" w:hAnsi="Calibri"/>
          <w:color w:val="525866"/>
          <w:sz w:val="22"/>
        </w:rPr>
        <w:t xml:space="preserve"> on June 24 for 7,000 shares, which warrants monitoring but is not unusual in size.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Griffith, Susan Patricia</w:t>
            </w:r>
          </w:p>
        </w:tc>
        <w:tc>
          <w:tcPr>
            <w:tcW w:type="dxa" w:w="1440"/>
          </w:tcPr>
          <w:p>
            <w:r>
              <w:rPr>
                <w:rFonts w:ascii="Calibri" w:hAnsi="Calibri"/>
                <w:sz w:val="22"/>
              </w:rPr>
              <w:t>President &amp; CEO, Director</w:t>
            </w:r>
          </w:p>
        </w:tc>
        <w:tc>
          <w:tcPr>
            <w:tcW w:type="dxa" w:w="1440"/>
          </w:tcPr>
          <w:p>
            <w:r>
              <w:rPr>
                <w:rFonts w:ascii="Calibri" w:hAnsi="Calibri"/>
                <w:sz w:val="22"/>
              </w:rPr>
              <w:t>Open Market Sale (10b5-1)</w:t>
            </w:r>
          </w:p>
        </w:tc>
        <w:tc>
          <w:tcPr>
            <w:tcW w:type="dxa" w:w="1440"/>
          </w:tcPr>
          <w:p>
            <w:r>
              <w:rPr>
                <w:rFonts w:ascii="Calibri" w:hAnsi="Calibri"/>
                <w:sz w:val="22"/>
              </w:rPr>
              <w:t>37,338</w:t>
            </w:r>
          </w:p>
        </w:tc>
        <w:tc>
          <w:tcPr>
            <w:tcW w:type="dxa" w:w="1440"/>
          </w:tcPr>
          <w:p>
            <w:r>
              <w:rPr>
                <w:rFonts w:ascii="Calibri" w:hAnsi="Calibri"/>
                <w:sz w:val="22"/>
              </w:rPr>
              <w:t>Jul 27, 2026</w:t>
            </w:r>
          </w:p>
        </w:tc>
        <w:tc>
          <w:tcPr>
            <w:tcW w:type="dxa" w:w="1440"/>
          </w:tcPr>
          <w:p>
            <w:r>
              <w:rPr>
                <w:rFonts w:ascii="Calibri" w:hAnsi="Calibri"/>
                <w:sz w:val="22"/>
              </w:rPr>
              <w:t>Pre-scheduled 10b5-1 plan; largest sale by volume; routine for CEO</w:t>
            </w:r>
          </w:p>
        </w:tc>
      </w:tr>
      <w:tr>
        <w:tc>
          <w:tcPr>
            <w:tcW w:type="dxa" w:w="1440"/>
          </w:tcPr>
          <w:p>
            <w:r>
              <w:rPr>
                <w:rFonts w:ascii="Calibri" w:hAnsi="Calibri"/>
                <w:sz w:val="22"/>
              </w:rPr>
              <w:t>Bailo, Karen</w:t>
            </w:r>
          </w:p>
        </w:tc>
        <w:tc>
          <w:tcPr>
            <w:tcW w:type="dxa" w:w="1440"/>
          </w:tcPr>
          <w:p>
            <w:r>
              <w:rPr>
                <w:rFonts w:ascii="Calibri" w:hAnsi="Calibri"/>
                <w:sz w:val="22"/>
              </w:rPr>
              <w:t>Commercial Lines President</w:t>
            </w:r>
          </w:p>
        </w:tc>
        <w:tc>
          <w:tcPr>
            <w:tcW w:type="dxa" w:w="1440"/>
          </w:tcPr>
          <w:p>
            <w:r>
              <w:rPr>
                <w:rFonts w:ascii="Calibri" w:hAnsi="Calibri"/>
                <w:sz w:val="22"/>
              </w:rPr>
              <w:t>Open Market Sale (10b5-1)</w:t>
            </w:r>
          </w:p>
        </w:tc>
        <w:tc>
          <w:tcPr>
            <w:tcW w:type="dxa" w:w="1440"/>
          </w:tcPr>
          <w:p>
            <w:r>
              <w:rPr>
                <w:rFonts w:ascii="Calibri" w:hAnsi="Calibri"/>
                <w:sz w:val="22"/>
              </w:rPr>
              <w:t>8,452</w:t>
            </w:r>
          </w:p>
        </w:tc>
        <w:tc>
          <w:tcPr>
            <w:tcW w:type="dxa" w:w="1440"/>
          </w:tcPr>
          <w:p>
            <w:r>
              <w:rPr>
                <w:rFonts w:ascii="Calibri" w:hAnsi="Calibri"/>
                <w:sz w:val="22"/>
              </w:rPr>
              <w:t>Jul 27, 2026</w:t>
            </w:r>
          </w:p>
        </w:tc>
        <w:tc>
          <w:tcPr>
            <w:tcW w:type="dxa" w:w="1440"/>
          </w:tcPr>
          <w:p>
            <w:r>
              <w:rPr>
                <w:rFonts w:ascii="Calibri" w:hAnsi="Calibri"/>
                <w:sz w:val="22"/>
              </w:rPr>
              <w:t>Pre-scheduled 10b5-1 plan; routine</w:t>
            </w:r>
          </w:p>
        </w:tc>
      </w:tr>
      <w:tr>
        <w:tc>
          <w:tcPr>
            <w:tcW w:type="dxa" w:w="1440"/>
          </w:tcPr>
          <w:p>
            <w:r>
              <w:rPr>
                <w:rFonts w:ascii="Calibri" w:hAnsi="Calibri"/>
                <w:sz w:val="22"/>
              </w:rPr>
              <w:t>Murphy, John Jo</w:t>
            </w:r>
          </w:p>
        </w:tc>
        <w:tc>
          <w:tcPr>
            <w:tcW w:type="dxa" w:w="1440"/>
          </w:tcPr>
          <w:p>
            <w:r>
              <w:rPr>
                <w:rFonts w:ascii="Calibri" w:hAnsi="Calibri"/>
                <w:sz w:val="22"/>
              </w:rPr>
              <w:t>Claims President</w:t>
            </w:r>
          </w:p>
        </w:tc>
        <w:tc>
          <w:tcPr>
            <w:tcW w:type="dxa" w:w="1440"/>
          </w:tcPr>
          <w:p>
            <w:r>
              <w:rPr>
                <w:rFonts w:ascii="Calibri" w:hAnsi="Calibri"/>
                <w:sz w:val="22"/>
              </w:rPr>
              <w:t>Open Market Sale (10b5-1)</w:t>
            </w:r>
          </w:p>
        </w:tc>
        <w:tc>
          <w:tcPr>
            <w:tcW w:type="dxa" w:w="1440"/>
          </w:tcPr>
          <w:p>
            <w:r>
              <w:rPr>
                <w:rFonts w:ascii="Calibri" w:hAnsi="Calibri"/>
                <w:sz w:val="22"/>
              </w:rPr>
              <w:t>8,124</w:t>
            </w:r>
          </w:p>
        </w:tc>
        <w:tc>
          <w:tcPr>
            <w:tcW w:type="dxa" w:w="1440"/>
          </w:tcPr>
          <w:p>
            <w:r>
              <w:rPr>
                <w:rFonts w:ascii="Calibri" w:hAnsi="Calibri"/>
                <w:sz w:val="22"/>
              </w:rPr>
              <w:t>Jul 27, 2026</w:t>
            </w:r>
          </w:p>
        </w:tc>
        <w:tc>
          <w:tcPr>
            <w:tcW w:type="dxa" w:w="1440"/>
          </w:tcPr>
          <w:p>
            <w:r>
              <w:rPr>
                <w:rFonts w:ascii="Calibri" w:hAnsi="Calibri"/>
                <w:sz w:val="22"/>
              </w:rPr>
              <w:t>Pre-scheduled 10b5-1 plan; routine</w:t>
            </w:r>
          </w:p>
        </w:tc>
      </w:tr>
      <w:tr>
        <w:tc>
          <w:tcPr>
            <w:tcW w:type="dxa" w:w="1440"/>
          </w:tcPr>
          <w:p>
            <w:r>
              <w:rPr>
                <w:rFonts w:ascii="Calibri" w:hAnsi="Calibri"/>
                <w:sz w:val="22"/>
              </w:rPr>
              <w:t>Quigg, Andrew J.</w:t>
            </w:r>
          </w:p>
        </w:tc>
        <w:tc>
          <w:tcPr>
            <w:tcW w:type="dxa" w:w="1440"/>
          </w:tcPr>
          <w:p>
            <w:r>
              <w:rPr>
                <w:rFonts w:ascii="Calibri" w:hAnsi="Calibri"/>
                <w:sz w:val="22"/>
              </w:rPr>
              <w:t>VP &amp; CFO (new)</w:t>
            </w:r>
          </w:p>
        </w:tc>
        <w:tc>
          <w:tcPr>
            <w:tcW w:type="dxa" w:w="1440"/>
          </w:tcPr>
          <w:p>
            <w:r>
              <w:rPr>
                <w:rFonts w:ascii="Calibri" w:hAnsi="Calibri"/>
                <w:sz w:val="22"/>
              </w:rPr>
              <w:t>Open Market Sale (10b5-1)</w:t>
            </w:r>
          </w:p>
        </w:tc>
        <w:tc>
          <w:tcPr>
            <w:tcW w:type="dxa" w:w="1440"/>
          </w:tcPr>
          <w:p>
            <w:r>
              <w:rPr>
                <w:rFonts w:ascii="Calibri" w:hAnsi="Calibri"/>
                <w:sz w:val="22"/>
              </w:rPr>
              <w:t>3,499</w:t>
            </w:r>
          </w:p>
        </w:tc>
        <w:tc>
          <w:tcPr>
            <w:tcW w:type="dxa" w:w="1440"/>
          </w:tcPr>
          <w:p>
            <w:r>
              <w:rPr>
                <w:rFonts w:ascii="Calibri" w:hAnsi="Calibri"/>
                <w:sz w:val="22"/>
              </w:rPr>
              <w:t>Jul 28, 2026</w:t>
            </w:r>
          </w:p>
        </w:tc>
        <w:tc>
          <w:tcPr>
            <w:tcW w:type="dxa" w:w="1440"/>
          </w:tcPr>
          <w:p>
            <w:r>
              <w:rPr>
                <w:rFonts w:ascii="Calibri" w:hAnsi="Calibri"/>
                <w:sz w:val="22"/>
              </w:rPr>
              <w:t>Pre-scheduled 10b5-1 plan; first sale as CFO; routine</w:t>
            </w:r>
          </w:p>
        </w:tc>
      </w:tr>
      <w:tr>
        <w:tc>
          <w:tcPr>
            <w:tcW w:type="dxa" w:w="1440"/>
          </w:tcPr>
          <w:p>
            <w:r>
              <w:rPr>
                <w:rFonts w:ascii="Calibri" w:hAnsi="Calibri"/>
                <w:sz w:val="22"/>
              </w:rPr>
              <w:t>Bauer, Jonathan S.</w:t>
            </w:r>
          </w:p>
        </w:tc>
        <w:tc>
          <w:tcPr>
            <w:tcW w:type="dxa" w:w="1440"/>
          </w:tcPr>
          <w:p>
            <w:r>
              <w:rPr>
                <w:rFonts w:ascii="Calibri" w:hAnsi="Calibri"/>
                <w:sz w:val="22"/>
              </w:rPr>
              <w:t>Chief Investment Officer</w:t>
            </w:r>
          </w:p>
        </w:tc>
        <w:tc>
          <w:tcPr>
            <w:tcW w:type="dxa" w:w="1440"/>
          </w:tcPr>
          <w:p>
            <w:r>
              <w:rPr>
                <w:rFonts w:ascii="Calibri" w:hAnsi="Calibri"/>
                <w:sz w:val="22"/>
              </w:rPr>
              <w:t>Open Market Sale (10b5-1)</w:t>
            </w:r>
          </w:p>
        </w:tc>
        <w:tc>
          <w:tcPr>
            <w:tcW w:type="dxa" w:w="1440"/>
          </w:tcPr>
          <w:p>
            <w:r>
              <w:rPr>
                <w:rFonts w:ascii="Calibri" w:hAnsi="Calibri"/>
                <w:sz w:val="22"/>
              </w:rPr>
              <w:t>2,242</w:t>
            </w:r>
          </w:p>
        </w:tc>
        <w:tc>
          <w:tcPr>
            <w:tcW w:type="dxa" w:w="1440"/>
          </w:tcPr>
          <w:p>
            <w:r>
              <w:rPr>
                <w:rFonts w:ascii="Calibri" w:hAnsi="Calibri"/>
                <w:sz w:val="22"/>
              </w:rPr>
              <w:t>Jul 27, 2026</w:t>
            </w:r>
          </w:p>
        </w:tc>
        <w:tc>
          <w:tcPr>
            <w:tcW w:type="dxa" w:w="1440"/>
          </w:tcPr>
          <w:p>
            <w:r>
              <w:rPr>
                <w:rFonts w:ascii="Calibri" w:hAnsi="Calibri"/>
                <w:sz w:val="22"/>
              </w:rPr>
              <w:t>Pre-scheduled 10b5-1 plan; routine</w:t>
            </w:r>
          </w:p>
        </w:tc>
      </w:tr>
      <w:tr>
        <w:tc>
          <w:tcPr>
            <w:tcW w:type="dxa" w:w="1440"/>
          </w:tcPr>
          <w:p>
            <w:r>
              <w:rPr>
                <w:rFonts w:ascii="Calibri" w:hAnsi="Calibri"/>
                <w:sz w:val="22"/>
              </w:rPr>
              <w:t>Broz, Steven</w:t>
            </w:r>
          </w:p>
        </w:tc>
        <w:tc>
          <w:tcPr>
            <w:tcW w:type="dxa" w:w="1440"/>
          </w:tcPr>
          <w:p>
            <w:r>
              <w:rPr>
                <w:rFonts w:ascii="Calibri" w:hAnsi="Calibri"/>
                <w:sz w:val="22"/>
              </w:rPr>
              <w:t>Chief Information Officer</w:t>
            </w:r>
          </w:p>
        </w:tc>
        <w:tc>
          <w:tcPr>
            <w:tcW w:type="dxa" w:w="1440"/>
          </w:tcPr>
          <w:p>
            <w:r>
              <w:rPr>
                <w:rFonts w:ascii="Calibri" w:hAnsi="Calibri"/>
                <w:sz w:val="22"/>
              </w:rPr>
              <w:t>Open Market Sale (10b5-1)</w:t>
            </w:r>
          </w:p>
        </w:tc>
        <w:tc>
          <w:tcPr>
            <w:tcW w:type="dxa" w:w="1440"/>
          </w:tcPr>
          <w:p>
            <w:r>
              <w:rPr>
                <w:rFonts w:ascii="Calibri" w:hAnsi="Calibri"/>
                <w:sz w:val="22"/>
              </w:rPr>
              <w:t>1,156</w:t>
            </w:r>
          </w:p>
        </w:tc>
        <w:tc>
          <w:tcPr>
            <w:tcW w:type="dxa" w:w="1440"/>
          </w:tcPr>
          <w:p>
            <w:r>
              <w:rPr>
                <w:rFonts w:ascii="Calibri" w:hAnsi="Calibri"/>
                <w:sz w:val="22"/>
              </w:rPr>
              <w:t>Jul 23, 2026</w:t>
            </w:r>
          </w:p>
        </w:tc>
        <w:tc>
          <w:tcPr>
            <w:tcW w:type="dxa" w:w="1440"/>
          </w:tcPr>
          <w:p>
            <w:r>
              <w:rPr>
                <w:rFonts w:ascii="Calibri" w:hAnsi="Calibri"/>
                <w:sz w:val="22"/>
              </w:rPr>
              <w:t>Pre-scheduled 10b5-1 plan; third sale in series (also Jun 22, Jun 5)</w:t>
            </w:r>
          </w:p>
        </w:tc>
      </w:tr>
      <w:tr>
        <w:tc>
          <w:tcPr>
            <w:tcW w:type="dxa" w:w="1440"/>
          </w:tcPr>
          <w:p>
            <w:r>
              <w:rPr>
                <w:rFonts w:ascii="Calibri" w:hAnsi="Calibri"/>
                <w:sz w:val="22"/>
              </w:rPr>
              <w:t>Kelly, Jeffrey D.</w:t>
            </w:r>
          </w:p>
        </w:tc>
        <w:tc>
          <w:tcPr>
            <w:tcW w:type="dxa" w:w="1440"/>
          </w:tcPr>
          <w:p>
            <w:r>
              <w:rPr>
                <w:rFonts w:ascii="Calibri" w:hAnsi="Calibri"/>
                <w:sz w:val="22"/>
              </w:rPr>
              <w:t>Director</w:t>
            </w:r>
          </w:p>
        </w:tc>
        <w:tc>
          <w:tcPr>
            <w:tcW w:type="dxa" w:w="1440"/>
          </w:tcPr>
          <w:p>
            <w:r>
              <w:rPr>
                <w:rFonts w:ascii="Calibri" w:hAnsi="Calibri"/>
                <w:sz w:val="22"/>
              </w:rPr>
              <w:t>Open Market Sale (Discretionary)</w:t>
            </w:r>
          </w:p>
        </w:tc>
        <w:tc>
          <w:tcPr>
            <w:tcW w:type="dxa" w:w="1440"/>
          </w:tcPr>
          <w:p>
            <w:r>
              <w:rPr>
                <w:rFonts w:ascii="Calibri" w:hAnsi="Calibri"/>
                <w:sz w:val="22"/>
              </w:rPr>
              <w:t>7,000</w:t>
            </w:r>
          </w:p>
        </w:tc>
        <w:tc>
          <w:tcPr>
            <w:tcW w:type="dxa" w:w="1440"/>
          </w:tcPr>
          <w:p>
            <w:r>
              <w:rPr>
                <w:rFonts w:ascii="Calibri" w:hAnsi="Calibri"/>
                <w:sz w:val="22"/>
              </w:rPr>
              <w:t>Jun 24, 2026</w:t>
            </w:r>
          </w:p>
        </w:tc>
        <w:tc>
          <w:tcPr>
            <w:tcW w:type="dxa" w:w="1440"/>
          </w:tcPr>
          <w:p>
            <w:r>
              <w:rPr>
                <w:rFonts w:ascii="Calibri" w:hAnsi="Calibri"/>
                <w:sz w:val="22"/>
              </w:rPr>
              <w:t>Discretionary sale (not 10b5-1); sold near stock’s recent high (~$220); worth monitoring</w:t>
            </w:r>
          </w:p>
        </w:tc>
      </w:tr>
      <w:tr>
        <w:tc>
          <w:tcPr>
            <w:tcW w:type="dxa" w:w="1440"/>
          </w:tcPr>
          <w:p>
            <w:r>
              <w:rPr>
                <w:rFonts w:ascii="Calibri" w:hAnsi="Calibri"/>
                <w:sz w:val="22"/>
              </w:rPr>
              <w:t>Johnson, Devin C.</w:t>
            </w:r>
          </w:p>
        </w:tc>
        <w:tc>
          <w:tcPr>
            <w:tcW w:type="dxa" w:w="1440"/>
          </w:tcPr>
          <w:p>
            <w:r>
              <w:rPr>
                <w:rFonts w:ascii="Calibri" w:hAnsi="Calibri"/>
                <w:sz w:val="22"/>
              </w:rPr>
              <w:t>Director</w:t>
            </w:r>
          </w:p>
        </w:tc>
        <w:tc>
          <w:tcPr>
            <w:tcW w:type="dxa" w:w="1440"/>
          </w:tcPr>
          <w:p>
            <w:r>
              <w:rPr>
                <w:rFonts w:ascii="Calibri" w:hAnsi="Calibri"/>
                <w:sz w:val="22"/>
              </w:rPr>
              <w:t>Open Market Sale (Discretionary)</w:t>
            </w:r>
          </w:p>
        </w:tc>
        <w:tc>
          <w:tcPr>
            <w:tcW w:type="dxa" w:w="1440"/>
          </w:tcPr>
          <w:p>
            <w:r>
              <w:rPr>
                <w:rFonts w:ascii="Calibri" w:hAnsi="Calibri"/>
                <w:sz w:val="22"/>
              </w:rPr>
              <w:t>980</w:t>
            </w:r>
          </w:p>
        </w:tc>
        <w:tc>
          <w:tcPr>
            <w:tcW w:type="dxa" w:w="1440"/>
          </w:tcPr>
          <w:p>
            <w:r>
              <w:rPr>
                <w:rFonts w:ascii="Calibri" w:hAnsi="Calibri"/>
                <w:sz w:val="22"/>
              </w:rPr>
              <w:t>Apr 16, 2026</w:t>
            </w:r>
          </w:p>
        </w:tc>
        <w:tc>
          <w:tcPr>
            <w:tcW w:type="dxa" w:w="1440"/>
          </w:tcPr>
          <w:p>
            <w:r>
              <w:rPr>
                <w:rFonts w:ascii="Calibri" w:hAnsi="Calibri"/>
                <w:sz w:val="22"/>
              </w:rPr>
              <w:t>Discretionary sale; small size; not unusual</w:t>
            </w:r>
          </w:p>
        </w:tc>
      </w:tr>
    </w:tbl>
    <w:p>
      <w:r>
        <w:rPr>
          <w:rFonts w:ascii="Calibri" w:hAnsi="Calibri"/>
          <w:color w:val="525866"/>
          <w:sz w:val="22"/>
        </w:rPr>
        <w:t>Source: SEC Form 4 Filings Database (Insider Transaction Data). No open-market purchases were recorded in the period. The overwhelming majority of sales are pre-scheduled 10b5-1 plan transactions, which are obligation-driven and carry no negative signal. The two discretionary director sales (Kelly, Johnson) are modest in size and not unusual. The cluster of executive 10b5-1 sales on July 27–28 (immediately after Q2 earnings) is consistent with typical post-blackout-period plan execution and should not be interpreted as a negative signal.</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