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Progressive Corporation (PGR) — Q3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Progressive Corporation</w:t>
            </w:r>
          </w:p>
        </w:tc>
      </w:tr>
      <w:tr>
        <w:tc>
          <w:tcPr>
            <w:tcW w:type="dxa" w:w="4320"/>
          </w:tcPr>
          <w:p>
            <w:r>
              <w:rPr>
                <w:rFonts w:ascii="Calibri" w:hAnsi="Calibri"/>
                <w:b/>
                <w:sz w:val="22"/>
              </w:rPr>
              <w:t>Ticker</w:t>
            </w:r>
          </w:p>
        </w:tc>
        <w:tc>
          <w:tcPr>
            <w:tcW w:type="dxa" w:w="4320"/>
          </w:tcPr>
          <w:p>
            <w:r>
              <w:rPr>
                <w:rFonts w:ascii="Calibri" w:hAnsi="Calibri"/>
                <w:sz w:val="22"/>
              </w:rPr>
              <w:t>PGR (NYSE)</w:t>
            </w:r>
          </w:p>
        </w:tc>
      </w:tr>
      <w:tr>
        <w:tc>
          <w:tcPr>
            <w:tcW w:type="dxa" w:w="4320"/>
          </w:tcPr>
          <w:p>
            <w:r>
              <w:rPr>
                <w:rFonts w:ascii="Calibri" w:hAnsi="Calibri"/>
                <w:b/>
                <w:sz w:val="22"/>
              </w:rPr>
              <w:t>Reporting Quarter</w:t>
            </w:r>
          </w:p>
        </w:tc>
        <w:tc>
          <w:tcPr>
            <w:tcW w:type="dxa" w:w="4320"/>
          </w:tcPr>
          <w:p>
            <w:r>
              <w:rPr>
                <w:rFonts w:ascii="Calibri" w:hAnsi="Calibri"/>
                <w:sz w:val="22"/>
              </w:rPr>
              <w:t>Q3 2026 (quarter ending September 30, 2026)</w:t>
            </w:r>
          </w:p>
        </w:tc>
      </w:tr>
      <w:tr>
        <w:tc>
          <w:tcPr>
            <w:tcW w:type="dxa" w:w="4320"/>
          </w:tcPr>
          <w:p>
            <w:r>
              <w:rPr>
                <w:rFonts w:ascii="Calibri" w:hAnsi="Calibri"/>
                <w:b/>
                <w:sz w:val="22"/>
              </w:rPr>
              <w:t>Next Earnings Date</w:t>
            </w:r>
          </w:p>
        </w:tc>
        <w:tc>
          <w:tcPr>
            <w:tcW w:type="dxa" w:w="4320"/>
          </w:tcPr>
          <w:p>
            <w:r>
              <w:rPr>
                <w:rFonts w:ascii="Calibri" w:hAnsi="Calibri"/>
                <w:sz w:val="22"/>
              </w:rPr>
              <w:t>~October 15, 2026 (estimated; monthly releases ongoing)</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(Chart)</w:t>
            </w:r>
          </w:p>
        </w:tc>
        <w:tc>
          <w:tcPr>
            <w:tcW w:type="dxa" w:w="4320"/>
          </w:tcPr>
          <w:p>
            <w:r>
              <w:rPr>
                <w:rFonts w:ascii="Calibri" w:hAnsi="Calibri"/>
                <w:sz w:val="22"/>
              </w:rPr>
              <w:t>KIE (SPDR S&amp;P Insurance ETF) — P&amp;C insurance sub-sector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Q3 2026 is a </w:t>
      </w:r>
      <w:r>
        <w:rPr>
          <w:rFonts w:ascii="Calibri" w:hAnsi="Calibri"/>
          <w:b/>
          <w:color w:val="525866"/>
          <w:sz w:val="22"/>
        </w:rPr>
        <w:t>cautiously constructive miss-risk</w:t>
      </w:r>
      <w:r>
        <w:rPr>
          <w:rFonts w:ascii="Calibri" w:hAnsi="Calibri"/>
          <w:color w:val="525866"/>
          <w:sz w:val="22"/>
        </w:rPr>
        <w:t xml:space="preserve"> story — consensus expects a meaningful combined ratio step-up to ~91.9% (vs. 87.3% in Q2) as catastrophe seasonality peaks, and the bar is set high enough that any severity surprise or cat event could disappoint; the single biggest swing factor is whether Q3 loss trends (frequency/severity) track the benign Q1 trajectory or revert toward the macro-pressured scenario management flagged.</w:t>
      </w:r>
    </w:p>
    <w:p>
      <w:r>
        <w:rPr>
          <w:rFonts w:ascii="Calibri" w:hAnsi="Calibri"/>
          <w:color w:val="525866"/>
          <w:sz w:val="22"/>
        </w:rPr>
        <w:t xml:space="preserve">Progressive enters Q3 2026 as the newly crowned #1 U.S. personal auto insurer, having captured the vast majority of top-10 carrier industry premium growth in 2025 and reaching ~18.6% market share. The bar for Q3 is set by a consensus combined ratio of ~91.9% — a meaningful step-up from Q2’s reported 87.3% — reflecting normal Q3 catastrophe seasonality and the lapping of a favorable Q3 2025 (89.5% actual). </w:t>
      </w:r>
      <w:r>
        <w:rPr>
          <w:rFonts w:ascii="Calibri" w:hAnsi="Calibri"/>
          <w:b/>
          <w:color w:val="525866"/>
          <w:sz w:val="22"/>
        </w:rPr>
        <w:t>Management’s tone on the Q1 2026 call was constructive but explicitly flagged macro wildcards</w:t>
      </w:r>
      <w:r>
        <w:rPr>
          <w:rFonts w:ascii="Calibri" w:hAnsi="Calibri"/>
          <w:color w:val="525866"/>
          <w:sz w:val="22"/>
        </w:rPr>
        <w:t xml:space="preserve"> (fuel prices, tariffs, geopolitical risks) as potential future headwinds to frequency and severity; none of these have yet materially impacted results, but they remain live risks heading into Q3. Estimate revisions have been modestly negative since the Q1 print — Q3 2026 operating EPS consensus has drifted from ~$3.72 (August 2025) to ~$3.65 today — suggesting the Street has gradually de-risked expectations without a dramatic reset. The stock is down ~6.5% since the Q2 earnings release on July 15 (which itself was a negative surprise day as the stock fell sharply on the print), trading at ~12.6x NTM P/E vs. a 12-month-ago multiple of ~14.5x, implying the market has already de-rated PGR meaningfully. The wildcard for Q3 is the August 4 investor deep-dive on the Robinson/property segment — management’s strategic framing of a $40–50B top-line opportunity could re-rate the stock if the growth roadmap is credible, or disappoint if execution barriers dominate the conversation.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high bar on combined ratio for Q3 (~91.9%), reflecting peak cat seasonality — any outperformance here would be the primary positive catalyst. Net premiums written growth (~5% YoY consensus) is the secondary swing factor, with deceleration from Q2’s 5% pace already baked in.</w:t>
      </w:r>
    </w:p>
    <w:p>
      <w:pPr>
        <w:pStyle w:val="Heading3"/>
      </w:pPr>
      <w:r>
        <w:rPr>
          <w:rFonts w:ascii="Calibri" w:hAnsi="Calibri"/>
          <w:b/>
          <w:color w:val="3B4259"/>
          <w:sz w:val="24"/>
        </w:rPr>
        <w:t>Table 1 — Current Quarter Snapshot (Q3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2026 Actual (Last Qtr)</w:t>
            </w:r>
          </w:p>
        </w:tc>
        <w:tc>
          <w:tcPr>
            <w:tcW w:type="dxa" w:w="1234"/>
            <w:shd w:val="clear" w:color="auto" w:fill="3B4259"/>
          </w:tcPr>
          <w:p>
            <w:r>
              <w:rPr>
                <w:rFonts w:ascii="Calibri" w:hAnsi="Calibri"/>
                <w:b/>
                <w:color w:val="FFFFFF"/>
                <w:sz w:val="22"/>
              </w:rPr>
              <w:t>Q3 2025 Actual (Prior Year)</w:t>
            </w:r>
          </w:p>
        </w:tc>
        <w:tc>
          <w:tcPr>
            <w:tcW w:type="dxa" w:w="1234"/>
            <w:shd w:val="clear" w:color="auto" w:fill="3B4259"/>
          </w:tcPr>
          <w:p>
            <w:r>
              <w:rPr>
                <w:rFonts w:ascii="Calibri" w:hAnsi="Calibri"/>
                <w:b/>
                <w:color w:val="FFFFFF"/>
                <w:sz w:val="22"/>
              </w:rPr>
              <w:t>Q3 2026 Consensus Estimate</w:t>
            </w:r>
          </w:p>
        </w:tc>
        <w:tc>
          <w:tcPr>
            <w:tcW w:type="dxa" w:w="1234"/>
            <w:shd w:val="clear" w:color="auto" w:fill="3B4259"/>
          </w:tcPr>
          <w:p>
            <w:r>
              <w:rPr>
                <w:rFonts w:ascii="Calibri" w:hAnsi="Calibri"/>
                <w:b/>
                <w:color w:val="FFFFFF"/>
                <w:sz w:val="22"/>
              </w:rPr>
              <w:t>YoY Change (Est. vs. Actual)</w:t>
            </w:r>
          </w:p>
        </w:tc>
        <w:tc>
          <w:tcPr>
            <w:tcW w:type="dxa" w:w="1234"/>
            <w:shd w:val="clear" w:color="auto" w:fill="3B4259"/>
          </w:tcPr>
          <w:p>
            <w:r>
              <w:rPr>
                <w:rFonts w:ascii="Calibri" w:hAnsi="Calibri"/>
                <w:b/>
                <w:color w:val="FFFFFF"/>
                <w:sz w:val="22"/>
              </w:rPr>
              <w:t>Guidance /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Combined Ratio — P&amp;C (%)</w:t>
            </w:r>
          </w:p>
        </w:tc>
        <w:tc>
          <w:tcPr>
            <w:tcW w:type="dxa" w:w="1234"/>
          </w:tcPr>
          <w:p>
            <w:r>
              <w:rPr>
                <w:rFonts w:ascii="Calibri" w:hAnsi="Calibri"/>
                <w:sz w:val="22"/>
              </w:rPr>
              <w:t>87.3%</w:t>
            </w:r>
          </w:p>
        </w:tc>
        <w:tc>
          <w:tcPr>
            <w:tcW w:type="dxa" w:w="1234"/>
          </w:tcPr>
          <w:p>
            <w:r>
              <w:rPr>
                <w:rFonts w:ascii="Calibri" w:hAnsi="Calibri"/>
                <w:sz w:val="22"/>
              </w:rPr>
              <w:t>89.5%</w:t>
            </w:r>
          </w:p>
        </w:tc>
        <w:tc>
          <w:tcPr>
            <w:tcW w:type="dxa" w:w="1234"/>
          </w:tcPr>
          <w:p>
            <w:r>
              <w:rPr>
                <w:rFonts w:ascii="Calibri" w:hAnsi="Calibri"/>
                <w:sz w:val="22"/>
              </w:rPr>
              <w:t>91.9%</w:t>
            </w:r>
          </w:p>
        </w:tc>
        <w:tc>
          <w:tcPr>
            <w:tcW w:type="dxa" w:w="1234"/>
          </w:tcPr>
          <w:p>
            <w:r>
              <w:rPr>
                <w:rFonts w:ascii="Calibri" w:hAnsi="Calibri"/>
                <w:b/>
                <w:color w:val="E5484D"/>
                <w:sz w:val="22"/>
              </w:rPr>
              <w:t>+2.4 pts YoY</w:t>
            </w:r>
          </w:p>
        </w:tc>
        <w:tc>
          <w:tcPr>
            <w:tcW w:type="dxa" w:w="1234"/>
          </w:tcPr>
          <w:p>
            <w:r>
              <w:rPr>
                <w:rFonts w:ascii="Calibri" w:hAnsi="Calibri"/>
                <w:sz w:val="22"/>
              </w:rPr>
              <w:t>≤96% (long-term target)</w:t>
            </w:r>
          </w:p>
        </w:tc>
        <w:tc>
          <w:tcPr>
            <w:tcW w:type="dxa" w:w="1234"/>
          </w:tcPr>
          <w:p>
            <w:r>
              <w:rPr>
                <w:rFonts w:ascii="Calibri" w:hAnsi="Calibri"/>
                <w:sz w:val="22"/>
              </w:rPr>
              <w:t>~4.1 pts below target (favorable)</w:t>
            </w:r>
          </w:p>
        </w:tc>
      </w:tr>
      <w:tr>
        <w:tc>
          <w:tcPr>
            <w:tcW w:type="dxa" w:w="1234"/>
          </w:tcPr>
          <w:p>
            <w:r>
              <w:rPr>
                <w:rFonts w:ascii="Calibri" w:hAnsi="Calibri"/>
                <w:sz w:val="22"/>
              </w:rPr>
              <w:t>Net Premiums Written — P&amp;C ($M)</w:t>
            </w:r>
          </w:p>
        </w:tc>
        <w:tc>
          <w:tcPr>
            <w:tcW w:type="dxa" w:w="1234"/>
          </w:tcPr>
          <w:p>
            <w:r>
              <w:rPr>
                <w:rFonts w:ascii="Calibri" w:hAnsi="Calibri"/>
                <w:sz w:val="22"/>
              </w:rPr>
              <w:t>$21,077M</w:t>
            </w:r>
          </w:p>
        </w:tc>
        <w:tc>
          <w:tcPr>
            <w:tcW w:type="dxa" w:w="1234"/>
          </w:tcPr>
          <w:p>
            <w:r>
              <w:rPr>
                <w:rFonts w:ascii="Calibri" w:hAnsi="Calibri"/>
                <w:sz w:val="22"/>
              </w:rPr>
              <w:t>$21,384M</w:t>
            </w:r>
          </w:p>
        </w:tc>
        <w:tc>
          <w:tcPr>
            <w:tcW w:type="dxa" w:w="1234"/>
          </w:tcPr>
          <w:p>
            <w:r>
              <w:rPr>
                <w:rFonts w:ascii="Calibri" w:hAnsi="Calibri"/>
                <w:sz w:val="22"/>
              </w:rPr>
              <w:t>$22,228M</w:t>
            </w:r>
          </w:p>
        </w:tc>
        <w:tc>
          <w:tcPr>
            <w:tcW w:type="dxa" w:w="1234"/>
          </w:tcPr>
          <w:p>
            <w:r>
              <w:rPr>
                <w:rFonts w:ascii="Calibri" w:hAnsi="Calibri"/>
                <w:b/>
                <w:color w:val="30A46C"/>
                <w:sz w:val="22"/>
              </w:rPr>
              <w:t>+3.9% YoY</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$4.85</w:t>
            </w:r>
          </w:p>
        </w:tc>
        <w:tc>
          <w:tcPr>
            <w:tcW w:type="dxa" w:w="1234"/>
          </w:tcPr>
          <w:p>
            <w:r>
              <w:rPr>
                <w:rFonts w:ascii="Calibri" w:hAnsi="Calibri"/>
                <w:sz w:val="22"/>
              </w:rPr>
              <w:t>$4.05</w:t>
            </w:r>
          </w:p>
        </w:tc>
        <w:tc>
          <w:tcPr>
            <w:tcW w:type="dxa" w:w="1234"/>
          </w:tcPr>
          <w:p>
            <w:r>
              <w:rPr>
                <w:rFonts w:ascii="Calibri" w:hAnsi="Calibri"/>
                <w:sz w:val="22"/>
              </w:rPr>
              <w:t>$3.65</w:t>
            </w:r>
          </w:p>
        </w:tc>
        <w:tc>
          <w:tcPr>
            <w:tcW w:type="dxa" w:w="1234"/>
          </w:tcPr>
          <w:p>
            <w:r>
              <w:rPr>
                <w:rFonts w:ascii="Calibri" w:hAnsi="Calibri"/>
                <w:b/>
                <w:color w:val="E5484D"/>
                <w:sz w:val="22"/>
              </w:rPr>
              <w:t>-9.9% YoY</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Policies in Force — Auto (K#)</w:t>
            </w:r>
          </w:p>
        </w:tc>
        <w:tc>
          <w:tcPr>
            <w:tcW w:type="dxa" w:w="1234"/>
          </w:tcPr>
          <w:p>
            <w:r>
              <w:rPr>
                <w:rFonts w:ascii="Calibri" w:hAnsi="Calibri"/>
                <w:sz w:val="22"/>
              </w:rPr>
              <w:t>36,455K</w:t>
            </w:r>
          </w:p>
        </w:tc>
        <w:tc>
          <w:tcPr>
            <w:tcW w:type="dxa" w:w="1234"/>
          </w:tcPr>
          <w:p>
            <w:r>
              <w:rPr>
                <w:rFonts w:ascii="Calibri" w:hAnsi="Calibri"/>
                <w:sz w:val="22"/>
              </w:rPr>
              <w:t>34,427K</w:t>
            </w:r>
          </w:p>
        </w:tc>
        <w:tc>
          <w:tcPr>
            <w:tcW w:type="dxa" w:w="1234"/>
          </w:tcPr>
          <w:p>
            <w:r>
              <w:rPr>
                <w:rFonts w:ascii="Calibri" w:hAnsi="Calibri"/>
                <w:sz w:val="22"/>
              </w:rPr>
              <w:t>36,884K</w:t>
            </w:r>
          </w:p>
        </w:tc>
        <w:tc>
          <w:tcPr>
            <w:tcW w:type="dxa" w:w="1234"/>
          </w:tcPr>
          <w:p>
            <w:r>
              <w:rPr>
                <w:rFonts w:ascii="Calibri" w:hAnsi="Calibri"/>
                <w:b/>
                <w:color w:val="30A46C"/>
                <w:sz w:val="22"/>
              </w:rPr>
              <w:t>+7.1% YoY</w:t>
            </w:r>
          </w:p>
        </w:tc>
        <w:tc>
          <w:tcPr>
            <w:tcW w:type="dxa" w:w="1234"/>
          </w:tcPr>
          <w:p>
            <w:r>
              <w:rPr>
                <w:rFonts w:ascii="Calibri" w:hAnsi="Calibri"/>
                <w:sz w:val="22"/>
              </w:rPr>
              <w:t>Grow as fast as possible at ≤96% CR</w:t>
            </w:r>
          </w:p>
        </w:tc>
        <w:tc>
          <w:tcPr>
            <w:tcW w:type="dxa" w:w="1234"/>
          </w:tcPr>
          <w:p>
            <w:r>
              <w:rPr>
                <w:rFonts w:ascii="Calibri" w:hAnsi="Calibri"/>
                <w:sz w:val="22"/>
              </w:rPr>
              <w:t>N/A</w:t>
            </w:r>
          </w:p>
        </w:tc>
      </w:tr>
      <w:tr>
        <w:tc>
          <w:tcPr>
            <w:tcW w:type="dxa" w:w="1234"/>
          </w:tcPr>
          <w:p>
            <w:r>
              <w:rPr>
                <w:rFonts w:ascii="Calibri" w:hAnsi="Calibri"/>
                <w:sz w:val="22"/>
              </w:rPr>
              <w:t>Investment Income ($M)</w:t>
            </w:r>
          </w:p>
        </w:tc>
        <w:tc>
          <w:tcPr>
            <w:tcW w:type="dxa" w:w="1234"/>
          </w:tcPr>
          <w:p>
            <w:r>
              <w:rPr>
                <w:rFonts w:ascii="Calibri" w:hAnsi="Calibri"/>
                <w:sz w:val="22"/>
              </w:rPr>
              <w:t>$979M</w:t>
            </w:r>
          </w:p>
        </w:tc>
        <w:tc>
          <w:tcPr>
            <w:tcW w:type="dxa" w:w="1234"/>
          </w:tcPr>
          <w:p>
            <w:r>
              <w:rPr>
                <w:rFonts w:ascii="Calibri" w:hAnsi="Calibri"/>
                <w:sz w:val="22"/>
              </w:rPr>
              <w:t>$924M</w:t>
            </w:r>
          </w:p>
        </w:tc>
        <w:tc>
          <w:tcPr>
            <w:tcW w:type="dxa" w:w="1234"/>
          </w:tcPr>
          <w:p>
            <w:r>
              <w:rPr>
                <w:rFonts w:ascii="Calibri" w:hAnsi="Calibri"/>
                <w:sz w:val="22"/>
              </w:rPr>
              <w:t>$1,009M</w:t>
            </w:r>
          </w:p>
        </w:tc>
        <w:tc>
          <w:tcPr>
            <w:tcW w:type="dxa" w:w="1234"/>
          </w:tcPr>
          <w:p>
            <w:r>
              <w:rPr>
                <w:rFonts w:ascii="Calibri" w:hAnsi="Calibri"/>
                <w:b/>
                <w:color w:val="30A46C"/>
                <w:sz w:val="22"/>
              </w:rPr>
              <w:t>+9.2% YoY</w:t>
            </w:r>
          </w:p>
        </w:tc>
        <w:tc>
          <w:tcPr>
            <w:tcW w:type="dxa" w:w="1234"/>
          </w:tcPr>
          <w:p>
            <w:r>
              <w:rPr>
                <w:rFonts w:ascii="Calibri" w:hAnsi="Calibri"/>
                <w:sz w:val="22"/>
              </w:rPr>
              <w:t>No explicit guidance; 4.2% book yield maintained</w:t>
            </w:r>
          </w:p>
        </w:tc>
        <w:tc>
          <w:tcPr>
            <w:tcW w:type="dxa" w:w="1234"/>
          </w:tcPr>
          <w:p>
            <w:r>
              <w:rPr>
                <w:rFonts w:ascii="Calibri" w:hAnsi="Calibri"/>
                <w:sz w:val="22"/>
              </w:rPr>
              <w:t>N/A</w:t>
            </w:r>
          </w:p>
        </w:tc>
      </w:tr>
    </w:tbl>
    <w:p>
      <w:r>
        <w:rPr>
          <w:rFonts w:ascii="Calibri" w:hAnsi="Calibri"/>
          <w:i/>
          <w:color w:val="525866"/>
          <w:sz w:val="22"/>
        </w:rPr>
        <w:t>Sources: Visible Alpha Consensus and Actuals Data (Combined Ratio — P&amp;C, Net Premiums Written — P&amp;C, EPS — Diluted Operating, Policies in Force — Auto, Investment Income); PGR Q2 2026 Earnings Release (July 15, 2026); PGR Q1 2026 Earnings Call (May 5,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Combined Ratio — P&amp;C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2026</w:t>
            </w:r>
          </w:p>
        </w:tc>
        <w:tc>
          <w:tcPr>
            <w:tcW w:type="dxa" w:w="1728"/>
          </w:tcPr>
          <w:p>
            <w:r>
              <w:rPr>
                <w:rFonts w:ascii="Calibri" w:hAnsi="Calibri"/>
                <w:sz w:val="22"/>
              </w:rPr>
              <w:t>87.3%</w:t>
            </w:r>
          </w:p>
        </w:tc>
        <w:tc>
          <w:tcPr>
            <w:tcW w:type="dxa" w:w="1728"/>
          </w:tcPr>
          <w:p>
            <w:r>
              <w:rPr>
                <w:rFonts w:ascii="Calibri" w:hAnsi="Calibri"/>
                <w:sz w:val="22"/>
              </w:rPr>
              <w:t>87.6%</w:t>
            </w:r>
          </w:p>
        </w:tc>
        <w:tc>
          <w:tcPr>
            <w:tcW w:type="dxa" w:w="1728"/>
          </w:tcPr>
          <w:p>
            <w:r>
              <w:rPr>
                <w:rFonts w:ascii="Calibri" w:hAnsi="Calibri"/>
                <w:sz w:val="22"/>
              </w:rPr>
              <w:t>-0.3 pts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86.3%</w:t>
            </w:r>
          </w:p>
        </w:tc>
        <w:tc>
          <w:tcPr>
            <w:tcW w:type="dxa" w:w="1728"/>
          </w:tcPr>
          <w:p>
            <w:r>
              <w:rPr>
                <w:rFonts w:ascii="Calibri" w:hAnsi="Calibri"/>
                <w:sz w:val="22"/>
              </w:rPr>
              <w:t>86.7%</w:t>
            </w:r>
          </w:p>
        </w:tc>
        <w:tc>
          <w:tcPr>
            <w:tcW w:type="dxa" w:w="1728"/>
          </w:tcPr>
          <w:p>
            <w:r>
              <w:rPr>
                <w:rFonts w:ascii="Calibri" w:hAnsi="Calibri"/>
                <w:sz w:val="22"/>
              </w:rPr>
              <w:t>-0.4 pts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88.0%</w:t>
            </w:r>
          </w:p>
        </w:tc>
        <w:tc>
          <w:tcPr>
            <w:tcW w:type="dxa" w:w="1728"/>
          </w:tcPr>
          <w:p>
            <w:r>
              <w:rPr>
                <w:rFonts w:ascii="Calibri" w:hAnsi="Calibri"/>
                <w:sz w:val="22"/>
              </w:rPr>
              <w:t>88.4%</w:t>
            </w:r>
          </w:p>
        </w:tc>
        <w:tc>
          <w:tcPr>
            <w:tcW w:type="dxa" w:w="1728"/>
          </w:tcPr>
          <w:p>
            <w:r>
              <w:rPr>
                <w:rFonts w:ascii="Calibri" w:hAnsi="Calibri"/>
                <w:sz w:val="22"/>
              </w:rPr>
              <w:t>-0.4 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89.5%</w:t>
            </w:r>
          </w:p>
        </w:tc>
        <w:tc>
          <w:tcPr>
            <w:tcW w:type="dxa" w:w="1728"/>
          </w:tcPr>
          <w:p>
            <w:r>
              <w:rPr>
                <w:rFonts w:ascii="Calibri" w:hAnsi="Calibri"/>
                <w:sz w:val="22"/>
              </w:rPr>
              <w:t>86.4%</w:t>
            </w:r>
          </w:p>
        </w:tc>
        <w:tc>
          <w:tcPr>
            <w:tcW w:type="dxa" w:w="1728"/>
          </w:tcPr>
          <w:p>
            <w:r>
              <w:rPr>
                <w:rFonts w:ascii="Calibri" w:hAnsi="Calibri"/>
                <w:sz w:val="22"/>
              </w:rPr>
              <w:t>+3.1 pts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86.1%</w:t>
            </w:r>
          </w:p>
        </w:tc>
        <w:tc>
          <w:tcPr>
            <w:tcW w:type="dxa" w:w="1728"/>
          </w:tcPr>
          <w:p>
            <w:r>
              <w:rPr>
                <w:rFonts w:ascii="Calibri" w:hAnsi="Calibri"/>
                <w:sz w:val="22"/>
              </w:rPr>
              <w:t>87.8%</w:t>
            </w:r>
          </w:p>
        </w:tc>
        <w:tc>
          <w:tcPr>
            <w:tcW w:type="dxa" w:w="1728"/>
          </w:tcPr>
          <w:p>
            <w:r>
              <w:rPr>
                <w:rFonts w:ascii="Calibri" w:hAnsi="Calibri"/>
                <w:sz w:val="22"/>
              </w:rPr>
              <w:t>-1.7 pts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86.0%</w:t>
            </w:r>
          </w:p>
        </w:tc>
        <w:tc>
          <w:tcPr>
            <w:tcW w:type="dxa" w:w="1728"/>
          </w:tcPr>
          <w:p>
            <w:r>
              <w:rPr>
                <w:rFonts w:ascii="Calibri" w:hAnsi="Calibri"/>
                <w:sz w:val="22"/>
              </w:rPr>
              <w:t>85.9%</w:t>
            </w:r>
          </w:p>
        </w:tc>
        <w:tc>
          <w:tcPr>
            <w:tcW w:type="dxa" w:w="1728"/>
          </w:tcPr>
          <w:p>
            <w:r>
              <w:rPr>
                <w:rFonts w:ascii="Calibri" w:hAnsi="Calibri"/>
                <w:sz w:val="22"/>
              </w:rPr>
              <w:t>-0.1 pts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87.9%</w:t>
            </w:r>
          </w:p>
        </w:tc>
        <w:tc>
          <w:tcPr>
            <w:tcW w:type="dxa" w:w="1728"/>
          </w:tcPr>
          <w:p>
            <w:r>
              <w:rPr>
                <w:rFonts w:ascii="Calibri" w:hAnsi="Calibri"/>
                <w:sz w:val="22"/>
              </w:rPr>
              <w:t>89.7%</w:t>
            </w:r>
          </w:p>
        </w:tc>
        <w:tc>
          <w:tcPr>
            <w:tcW w:type="dxa" w:w="1728"/>
          </w:tcPr>
          <w:p>
            <w:r>
              <w:rPr>
                <w:rFonts w:ascii="Calibri" w:hAnsi="Calibri"/>
                <w:sz w:val="22"/>
              </w:rPr>
              <w:t>-1.8 pts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Net Premiums Written — P&amp;C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2026</w:t>
            </w:r>
          </w:p>
        </w:tc>
        <w:tc>
          <w:tcPr>
            <w:tcW w:type="dxa" w:w="1728"/>
          </w:tcPr>
          <w:p>
            <w:r>
              <w:rPr>
                <w:rFonts w:ascii="Calibri" w:hAnsi="Calibri"/>
                <w:sz w:val="22"/>
              </w:rPr>
              <w:t>$21,077M</w:t>
            </w:r>
          </w:p>
        </w:tc>
        <w:tc>
          <w:tcPr>
            <w:tcW w:type="dxa" w:w="1728"/>
          </w:tcPr>
          <w:p>
            <w:r>
              <w:rPr>
                <w:rFonts w:ascii="Calibri" w:hAnsi="Calibri"/>
                <w:sz w:val="22"/>
              </w:rPr>
              <w:t>$21,240M</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$23,641M</w:t>
            </w:r>
          </w:p>
        </w:tc>
        <w:tc>
          <w:tcPr>
            <w:tcW w:type="dxa" w:w="1728"/>
          </w:tcPr>
          <w:p>
            <w:r>
              <w:rPr>
                <w:rFonts w:ascii="Calibri" w:hAnsi="Calibri"/>
                <w:sz w:val="22"/>
              </w:rPr>
              <w:t>$23,296M</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$19,508M</w:t>
            </w:r>
          </w:p>
        </w:tc>
        <w:tc>
          <w:tcPr>
            <w:tcW w:type="dxa" w:w="1728"/>
          </w:tcPr>
          <w:p>
            <w:r>
              <w:rPr>
                <w:rFonts w:ascii="Calibri" w:hAnsi="Calibri"/>
                <w:sz w:val="22"/>
              </w:rPr>
              <w:t>$19,674M</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$21,384M</w:t>
            </w:r>
          </w:p>
        </w:tc>
        <w:tc>
          <w:tcPr>
            <w:tcW w:type="dxa" w:w="1728"/>
          </w:tcPr>
          <w:p>
            <w:r>
              <w:rPr>
                <w:rFonts w:ascii="Calibri" w:hAnsi="Calibri"/>
                <w:sz w:val="22"/>
              </w:rPr>
              <w:t>$21,627M</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$20,076M</w:t>
            </w:r>
          </w:p>
        </w:tc>
        <w:tc>
          <w:tcPr>
            <w:tcW w:type="dxa" w:w="1728"/>
          </w:tcPr>
          <w:p>
            <w:r>
              <w:rPr>
                <w:rFonts w:ascii="Calibri" w:hAnsi="Calibri"/>
                <w:sz w:val="22"/>
              </w:rPr>
              <w:t>$20,222M</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$22,206M</w:t>
            </w:r>
          </w:p>
        </w:tc>
        <w:tc>
          <w:tcPr>
            <w:tcW w:type="dxa" w:w="1728"/>
          </w:tcPr>
          <w:p>
            <w:r>
              <w:rPr>
                <w:rFonts w:ascii="Calibri" w:hAnsi="Calibri"/>
                <w:sz w:val="22"/>
              </w:rPr>
              <w:t>$22,164M</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$18,105M</w:t>
            </w:r>
          </w:p>
        </w:tc>
        <w:tc>
          <w:tcPr>
            <w:tcW w:type="dxa" w:w="1728"/>
          </w:tcPr>
          <w:p>
            <w:r>
              <w:rPr>
                <w:rFonts w:ascii="Calibri" w:hAnsi="Calibri"/>
                <w:sz w:val="22"/>
              </w:rPr>
              <w:t>$18,161M</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Progressive has beaten combined ratio consensus in 6 of the last 7 reported quarters (the lone miss was Q3 2025, a cat-heavy quarter), demonstrating consistent underwriting outperformance. On net premiums written, the pattern is more mixed — 5 misses in 7 quarters — reflecting the competitive soft market environment where growth has modestly trailed elevated Street expectations.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have been issued since the Q1 2026 earnings call (May 5, 2026); management’s posture is unchanged — grow as fast as possible at or below a 96% combined ratio — but tone has shifted toward greater vigilance on macro headwinds (fuel prices, tariffs, geopolitical risks) that could pressure frequency and severity in Q3.</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Combined Ratio Target</w:t>
            </w:r>
          </w:p>
        </w:tc>
        <w:tc>
          <w:tcPr>
            <w:tcW w:type="dxa" w:w="1728"/>
          </w:tcPr>
          <w:p>
            <w:r>
              <w:rPr>
                <w:rFonts w:ascii="Calibri" w:hAnsi="Calibri"/>
                <w:sz w:val="22"/>
              </w:rPr>
              <w:t>≤96% (long-term target; grow as fast as possible at or below this level)</w:t>
            </w:r>
          </w:p>
        </w:tc>
        <w:tc>
          <w:tcPr>
            <w:tcW w:type="dxa" w:w="1728"/>
          </w:tcPr>
          <w:p>
            <w:r>
              <w:rPr>
                <w:rFonts w:ascii="Calibri" w:hAnsi="Calibri"/>
                <w:sz w:val="22"/>
              </w:rPr>
              <w:t>—</w:t>
            </w:r>
          </w:p>
        </w:tc>
        <w:tc>
          <w:tcPr>
            <w:tcW w:type="dxa" w:w="1728"/>
          </w:tcPr>
          <w:p>
            <w:r>
              <w:rPr>
                <w:rFonts w:ascii="Calibri" w:hAnsi="Calibri"/>
                <w:sz w:val="22"/>
              </w:rPr>
              <w:t>91.9% for Q3 2026; 89.1% for FY2026</w:t>
            </w:r>
          </w:p>
        </w:tc>
        <w:tc>
          <w:tcPr>
            <w:tcW w:type="dxa" w:w="1728"/>
          </w:tcPr>
          <w:p>
            <w:r>
              <w:rPr>
                <w:rFonts w:ascii="Calibri" w:hAnsi="Calibri"/>
                <w:sz w:val="22"/>
              </w:rPr>
              <w:t>No change since Q1 call; management reiterated focus on profitable growth at target margins</w:t>
            </w:r>
          </w:p>
        </w:tc>
      </w:tr>
      <w:tr>
        <w:tc>
          <w:tcPr>
            <w:tcW w:type="dxa" w:w="1728"/>
          </w:tcPr>
          <w:p>
            <w:r>
              <w:rPr>
                <w:rFonts w:ascii="Calibri" w:hAnsi="Calibri"/>
                <w:sz w:val="22"/>
              </w:rPr>
              <w:t>Premium Growth / PIF</w:t>
            </w:r>
          </w:p>
        </w:tc>
        <w:tc>
          <w:tcPr>
            <w:tcW w:type="dxa" w:w="1728"/>
          </w:tcPr>
          <w:p>
            <w:r>
              <w:rPr>
                <w:rFonts w:ascii="Calibri" w:hAnsi="Calibri"/>
                <w:sz w:val="22"/>
              </w:rPr>
              <w:t>Grow as fast as possible; some states taking modest rate decreases to capture in-market shoppers; record media spend deployed</w:t>
            </w:r>
          </w:p>
        </w:tc>
        <w:tc>
          <w:tcPr>
            <w:tcW w:type="dxa" w:w="1728"/>
          </w:tcPr>
          <w:p>
            <w:r>
              <w:rPr>
                <w:rFonts w:ascii="Calibri" w:hAnsi="Calibri"/>
                <w:sz w:val="22"/>
              </w:rPr>
              <w:t>—</w:t>
            </w:r>
          </w:p>
        </w:tc>
        <w:tc>
          <w:tcPr>
            <w:tcW w:type="dxa" w:w="1728"/>
          </w:tcPr>
          <w:p>
            <w:r>
              <w:rPr>
                <w:rFonts w:ascii="Calibri" w:hAnsi="Calibri"/>
                <w:sz w:val="22"/>
              </w:rPr>
              <w:t>NPW +3.9% YoY Q3; +5.8% FY2026</w:t>
            </w:r>
          </w:p>
        </w:tc>
        <w:tc>
          <w:tcPr>
            <w:tcW w:type="dxa" w:w="1728"/>
          </w:tcPr>
          <w:p>
            <w:r>
              <w:rPr>
                <w:rFonts w:ascii="Calibri" w:hAnsi="Calibri"/>
                <w:sz w:val="22"/>
              </w:rPr>
              <w:t>No formal revision; competitive environment described as “more and more competitive”; deceleration from 2025’s ~18% growth pace is expected</w:t>
            </w:r>
          </w:p>
        </w:tc>
      </w:tr>
      <w:tr>
        <w:tc>
          <w:tcPr>
            <w:tcW w:type="dxa" w:w="1728"/>
          </w:tcPr>
          <w:p>
            <w:r>
              <w:rPr>
                <w:rFonts w:ascii="Calibri" w:hAnsi="Calibri"/>
                <w:sz w:val="22"/>
              </w:rPr>
              <w:t>Pricing / Rate Actions</w:t>
            </w:r>
          </w:p>
        </w:tc>
        <w:tc>
          <w:tcPr>
            <w:tcW w:type="dxa" w:w="1728"/>
          </w:tcPr>
          <w:p>
            <w:r>
              <w:rPr>
                <w:rFonts w:ascii="Calibri" w:hAnsi="Calibri"/>
                <w:sz w:val="22"/>
              </w:rPr>
              <w:t>Modest rate decreases in select states where profitable; macro environment could put upward pressure on pricing in the future</w:t>
            </w:r>
          </w:p>
        </w:tc>
        <w:tc>
          <w:tcPr>
            <w:tcW w:type="dxa" w:w="1728"/>
          </w:tcPr>
          <w:p>
            <w:r>
              <w:rPr>
                <w:rFonts w:ascii="Calibri" w:hAnsi="Calibri"/>
                <w:sz w:val="22"/>
              </w:rPr>
              <w:t>—</w:t>
            </w:r>
          </w:p>
        </w:tc>
        <w:tc>
          <w:tcPr>
            <w:tcW w:type="dxa" w:w="1728"/>
          </w:tcPr>
          <w:p>
            <w:r>
              <w:rPr>
                <w:rFonts w:ascii="Calibri" w:hAnsi="Calibri"/>
                <w:sz w:val="22"/>
              </w:rPr>
              <w:t>N/A (no consensus metric)</w:t>
            </w:r>
          </w:p>
        </w:tc>
        <w:tc>
          <w:tcPr>
            <w:tcW w:type="dxa" w:w="1728"/>
          </w:tcPr>
          <w:p>
            <w:r>
              <w:rPr>
                <w:rFonts w:ascii="Calibri" w:hAnsi="Calibri"/>
                <w:sz w:val="22"/>
              </w:rPr>
              <w:t>Tone: cautiously watching fuel prices, tariffs, geopolitical risks; no rate increases announced yet</w:t>
            </w:r>
          </w:p>
        </w:tc>
      </w:tr>
      <w:tr>
        <w:tc>
          <w:tcPr>
            <w:tcW w:type="dxa" w:w="1728"/>
          </w:tcPr>
          <w:p>
            <w:r>
              <w:rPr>
                <w:rFonts w:ascii="Calibri" w:hAnsi="Calibri"/>
                <w:sz w:val="22"/>
              </w:rPr>
              <w:t>Investment Income</w:t>
            </w:r>
          </w:p>
        </w:tc>
        <w:tc>
          <w:tcPr>
            <w:tcW w:type="dxa" w:w="1728"/>
          </w:tcPr>
          <w:p>
            <w:r>
              <w:rPr>
                <w:rFonts w:ascii="Calibri" w:hAnsi="Calibri"/>
                <w:sz w:val="22"/>
              </w:rPr>
              <w:t>No explicit guidance; 4.2% pretax annualized book yield maintained through Q2 2026</w:t>
            </w:r>
          </w:p>
        </w:tc>
        <w:tc>
          <w:tcPr>
            <w:tcW w:type="dxa" w:w="1728"/>
          </w:tcPr>
          <w:p>
            <w:r>
              <w:rPr>
                <w:rFonts w:ascii="Calibri" w:hAnsi="Calibri"/>
                <w:sz w:val="22"/>
              </w:rPr>
              <w:t>—</w:t>
            </w:r>
          </w:p>
        </w:tc>
        <w:tc>
          <w:tcPr>
            <w:tcW w:type="dxa" w:w="1728"/>
          </w:tcPr>
          <w:p>
            <w:r>
              <w:rPr>
                <w:rFonts w:ascii="Calibri" w:hAnsi="Calibri"/>
                <w:sz w:val="22"/>
              </w:rPr>
              <w:t>$1,009M Q3 2026; $3,940M FY2026</w:t>
            </w:r>
          </w:p>
        </w:tc>
        <w:tc>
          <w:tcPr>
            <w:tcW w:type="dxa" w:w="1728"/>
          </w:tcPr>
          <w:p>
            <w:r>
              <w:rPr>
                <w:rFonts w:ascii="Calibri" w:hAnsi="Calibri"/>
                <w:sz w:val="22"/>
              </w:rPr>
              <w:t>Positive tailwind from higher new money rates; portfolio growing with premium base</w:t>
            </w:r>
          </w:p>
        </w:tc>
      </w:tr>
      <w:tr>
        <w:tc>
          <w:tcPr>
            <w:tcW w:type="dxa" w:w="1728"/>
          </w:tcPr>
          <w:p>
            <w:r>
              <w:rPr>
                <w:rFonts w:ascii="Calibri" w:hAnsi="Calibri"/>
                <w:sz w:val="22"/>
              </w:rPr>
              <w:t>Robinson / Property Strategy</w:t>
            </w:r>
          </w:p>
        </w:tc>
        <w:tc>
          <w:tcPr>
            <w:tcW w:type="dxa" w:w="1728"/>
          </w:tcPr>
          <w:p>
            <w:r>
              <w:rPr>
                <w:rFonts w:ascii="Calibri" w:hAnsi="Calibri"/>
                <w:sz w:val="22"/>
              </w:rPr>
              <w:t>Dedicated Q2 2026 investor deep-dive announced for August 4, 2026; ~38 of 47 states in growth mode; $40–50B top-line opportunity identified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August 4 deep-dive is the key near-term catalyst; management framing this as the primary next growth frontier</w:t>
            </w:r>
          </w:p>
        </w:tc>
      </w:tr>
      <w:tr>
        <w:tc>
          <w:tcPr>
            <w:tcW w:type="dxa" w:w="1728"/>
          </w:tcPr>
          <w:p>
            <w:r>
              <w:rPr>
                <w:rFonts w:ascii="Calibri" w:hAnsi="Calibri"/>
                <w:sz w:val="22"/>
              </w:rPr>
              <w:t>Capital Management</w:t>
            </w:r>
          </w:p>
        </w:tc>
        <w:tc>
          <w:tcPr>
            <w:tcW w:type="dxa" w:w="1728"/>
          </w:tcPr>
          <w:p>
            <w:r>
              <w:rPr>
                <w:rFonts w:ascii="Calibri" w:hAnsi="Calibri"/>
                <w:sz w:val="22"/>
              </w:rPr>
              <w:t>Share repurchases when stock trades below intrinsic value; variable dividend if excess capital remains; financial leverage moved above 20% lower bound in Q1 2026; CFO transition (Quigg replacing Sutherland in July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Wolfe Research estimates ~$13B excess capital; $6.6B dividends + $2.3B buybacks expected in 2026</w:t>
            </w:r>
          </w:p>
        </w:tc>
      </w:tr>
    </w:tbl>
    <w:p>
      <w:r>
        <w:rPr>
          <w:rFonts w:ascii="Calibri" w:hAnsi="Calibri"/>
          <w:i/>
          <w:color w:val="525866"/>
          <w:sz w:val="22"/>
        </w:rPr>
        <w:t>Sources: PGR Q1 2026 Earnings Call Transcript (May 5, 2026); PGR Q2 2026 Earnings Release (July 15, 2026); WSJ (July 20,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Q3 2026 estimates have been essentially flat since the Q1 print (operating EPS ~$3.65–3.68 range), suggesting the Street has not materially revised its view of the quarter. FY2026 estimates are similarly stable. The gap between consensus and the 96% combined ratio target remains wide (~4 pts), providing a structural cushion, but the Q3 cat-season step-up is the key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EPS — Diluted Operating (Q3 2026)</w:t>
            </w:r>
          </w:p>
        </w:tc>
        <w:tc>
          <w:tcPr>
            <w:tcW w:type="dxa" w:w="1080"/>
          </w:tcPr>
          <w:p>
            <w:r>
              <w:rPr>
                <w:rFonts w:ascii="Calibri" w:hAnsi="Calibri"/>
                <w:sz w:val="22"/>
              </w:rPr>
              <w:t>~$3.55</w:t>
            </w:r>
          </w:p>
        </w:tc>
        <w:tc>
          <w:tcPr>
            <w:tcW w:type="dxa" w:w="1080"/>
          </w:tcPr>
          <w:p>
            <w:r>
              <w:rPr>
                <w:rFonts w:ascii="Calibri" w:hAnsi="Calibri"/>
                <w:sz w:val="22"/>
              </w:rPr>
              <w:t>$3.65</w:t>
            </w:r>
          </w:p>
        </w:tc>
        <w:tc>
          <w:tcPr>
            <w:tcW w:type="dxa" w:w="1080"/>
          </w:tcPr>
          <w:p>
            <w:r>
              <w:rPr>
                <w:rFonts w:ascii="Calibri" w:hAnsi="Calibri"/>
                <w:b/>
                <w:color w:val="30A46C"/>
                <w:sz w:val="22"/>
              </w:rPr>
              <w:t>+2.8%</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(FY2026)</w:t>
            </w:r>
          </w:p>
        </w:tc>
        <w:tc>
          <w:tcPr>
            <w:tcW w:type="dxa" w:w="1080"/>
          </w:tcPr>
          <w:p>
            <w:r>
              <w:rPr>
                <w:rFonts w:ascii="Calibri" w:hAnsi="Calibri"/>
                <w:sz w:val="22"/>
              </w:rPr>
              <w:t>~$17.59</w:t>
            </w:r>
          </w:p>
        </w:tc>
        <w:tc>
          <w:tcPr>
            <w:tcW w:type="dxa" w:w="1080"/>
          </w:tcPr>
          <w:p>
            <w:r>
              <w:rPr>
                <w:rFonts w:ascii="Calibri" w:hAnsi="Calibri"/>
                <w:sz w:val="22"/>
              </w:rPr>
              <w:t>$17.59</w:t>
            </w:r>
          </w:p>
        </w:tc>
        <w:tc>
          <w:tcPr>
            <w:tcW w:type="dxa" w:w="1080"/>
          </w:tcPr>
          <w:p>
            <w:r>
              <w:rPr>
                <w:rFonts w:ascii="Calibri" w:hAnsi="Calibri"/>
                <w:sz w:val="22"/>
              </w:rPr>
              <w:t>0.0%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Combined Ratio — P&amp;C (Q3 2026)</w:t>
            </w:r>
          </w:p>
        </w:tc>
        <w:tc>
          <w:tcPr>
            <w:tcW w:type="dxa" w:w="1080"/>
          </w:tcPr>
          <w:p>
            <w:r>
              <w:rPr>
                <w:rFonts w:ascii="Calibri" w:hAnsi="Calibri"/>
                <w:sz w:val="22"/>
              </w:rPr>
              <w:t>~91.9%</w:t>
            </w:r>
          </w:p>
        </w:tc>
        <w:tc>
          <w:tcPr>
            <w:tcW w:type="dxa" w:w="1080"/>
          </w:tcPr>
          <w:p>
            <w:r>
              <w:rPr>
                <w:rFonts w:ascii="Calibri" w:hAnsi="Calibri"/>
                <w:sz w:val="22"/>
              </w:rPr>
              <w:t>91.9%</w:t>
            </w:r>
          </w:p>
        </w:tc>
        <w:tc>
          <w:tcPr>
            <w:tcW w:type="dxa" w:w="1080"/>
          </w:tcPr>
          <w:p>
            <w:r>
              <w:rPr>
                <w:rFonts w:ascii="Calibri" w:hAnsi="Calibri"/>
                <w:sz w:val="22"/>
              </w:rPr>
              <w:t>0.0%</w:t>
            </w:r>
          </w:p>
        </w:tc>
        <w:tc>
          <w:tcPr>
            <w:tcW w:type="dxa" w:w="1080"/>
          </w:tcPr>
          <w:p>
            <w:r>
              <w:rPr>
                <w:rFonts w:ascii="Calibri" w:hAnsi="Calibri"/>
                <w:sz w:val="22"/>
              </w:rPr>
              <w:t>≤96% (long-term target)</w:t>
            </w:r>
          </w:p>
        </w:tc>
        <w:tc>
          <w:tcPr>
            <w:tcW w:type="dxa" w:w="1080"/>
          </w:tcPr>
          <w:p>
            <w:r>
              <w:rPr>
                <w:rFonts w:ascii="Calibri" w:hAnsi="Calibri"/>
                <w:sz w:val="22"/>
              </w:rPr>
              <w:t>≤96% (unchanged)</w:t>
            </w:r>
          </w:p>
        </w:tc>
        <w:tc>
          <w:tcPr>
            <w:tcW w:type="dxa" w:w="1080"/>
          </w:tcPr>
          <w:p>
            <w:r>
              <w:rPr>
                <w:rFonts w:ascii="Calibri" w:hAnsi="Calibri"/>
                <w:sz w:val="22"/>
              </w:rPr>
              <w:t>No change</w:t>
            </w:r>
          </w:p>
        </w:tc>
        <w:tc>
          <w:tcPr>
            <w:tcW w:type="dxa" w:w="1080"/>
          </w:tcPr>
          <w:p>
            <w:r>
              <w:rPr>
                <w:rFonts w:ascii="Calibri" w:hAnsi="Calibri"/>
                <w:sz w:val="22"/>
              </w:rPr>
              <w:t>~4.1 pts below target (favorable)</w:t>
            </w:r>
          </w:p>
        </w:tc>
      </w:tr>
      <w:tr>
        <w:tc>
          <w:tcPr>
            <w:tcW w:type="dxa" w:w="1080"/>
          </w:tcPr>
          <w:p>
            <w:r>
              <w:rPr>
                <w:rFonts w:ascii="Calibri" w:hAnsi="Calibri"/>
                <w:sz w:val="22"/>
              </w:rPr>
              <w:t>Combined Ratio — P&amp;C (FY2026)</w:t>
            </w:r>
          </w:p>
        </w:tc>
        <w:tc>
          <w:tcPr>
            <w:tcW w:type="dxa" w:w="1080"/>
          </w:tcPr>
          <w:p>
            <w:r>
              <w:rPr>
                <w:rFonts w:ascii="Calibri" w:hAnsi="Calibri"/>
                <w:sz w:val="22"/>
              </w:rPr>
              <w:t>~89.1%</w:t>
            </w:r>
          </w:p>
        </w:tc>
        <w:tc>
          <w:tcPr>
            <w:tcW w:type="dxa" w:w="1080"/>
          </w:tcPr>
          <w:p>
            <w:r>
              <w:rPr>
                <w:rFonts w:ascii="Calibri" w:hAnsi="Calibri"/>
                <w:sz w:val="22"/>
              </w:rPr>
              <w:t>89.1%</w:t>
            </w:r>
          </w:p>
        </w:tc>
        <w:tc>
          <w:tcPr>
            <w:tcW w:type="dxa" w:w="1080"/>
          </w:tcPr>
          <w:p>
            <w:r>
              <w:rPr>
                <w:rFonts w:ascii="Calibri" w:hAnsi="Calibri"/>
                <w:sz w:val="22"/>
              </w:rPr>
              <w:t>0.0%</w:t>
            </w:r>
          </w:p>
        </w:tc>
        <w:tc>
          <w:tcPr>
            <w:tcW w:type="dxa" w:w="1080"/>
          </w:tcPr>
          <w:p>
            <w:r>
              <w:rPr>
                <w:rFonts w:ascii="Calibri" w:hAnsi="Calibri"/>
                <w:sz w:val="22"/>
              </w:rPr>
              <w:t>≤96% (long-term target)</w:t>
            </w:r>
          </w:p>
        </w:tc>
        <w:tc>
          <w:tcPr>
            <w:tcW w:type="dxa" w:w="1080"/>
          </w:tcPr>
          <w:p>
            <w:r>
              <w:rPr>
                <w:rFonts w:ascii="Calibri" w:hAnsi="Calibri"/>
                <w:sz w:val="22"/>
              </w:rPr>
              <w:t>≤96% (unchanged)</w:t>
            </w:r>
          </w:p>
        </w:tc>
        <w:tc>
          <w:tcPr>
            <w:tcW w:type="dxa" w:w="1080"/>
          </w:tcPr>
          <w:p>
            <w:r>
              <w:rPr>
                <w:rFonts w:ascii="Calibri" w:hAnsi="Calibri"/>
                <w:sz w:val="22"/>
              </w:rPr>
              <w:t>No change</w:t>
            </w:r>
          </w:p>
        </w:tc>
        <w:tc>
          <w:tcPr>
            <w:tcW w:type="dxa" w:w="1080"/>
          </w:tcPr>
          <w:p>
            <w:r>
              <w:rPr>
                <w:rFonts w:ascii="Calibri" w:hAnsi="Calibri"/>
                <w:sz w:val="22"/>
              </w:rPr>
              <w:t>~6.9 pts below target (favorable)</w:t>
            </w:r>
          </w:p>
        </w:tc>
      </w:tr>
      <w:tr>
        <w:tc>
          <w:tcPr>
            <w:tcW w:type="dxa" w:w="1080"/>
          </w:tcPr>
          <w:p>
            <w:r>
              <w:rPr>
                <w:rFonts w:ascii="Calibri" w:hAnsi="Calibri"/>
                <w:sz w:val="22"/>
              </w:rPr>
              <w:t>Net Premiums Written — P&amp;C (Q3 2026)</w:t>
            </w:r>
          </w:p>
        </w:tc>
        <w:tc>
          <w:tcPr>
            <w:tcW w:type="dxa" w:w="1080"/>
          </w:tcPr>
          <w:p>
            <w:r>
              <w:rPr>
                <w:rFonts w:ascii="Calibri" w:hAnsi="Calibri"/>
                <w:sz w:val="22"/>
              </w:rPr>
              <w:t>~$22,183M</w:t>
            </w:r>
          </w:p>
        </w:tc>
        <w:tc>
          <w:tcPr>
            <w:tcW w:type="dxa" w:w="1080"/>
          </w:tcPr>
          <w:p>
            <w:r>
              <w:rPr>
                <w:rFonts w:ascii="Calibri" w:hAnsi="Calibri"/>
                <w:sz w:val="22"/>
              </w:rPr>
              <w:t>$22,228M</w:t>
            </w:r>
          </w:p>
        </w:tc>
        <w:tc>
          <w:tcPr>
            <w:tcW w:type="dxa" w:w="1080"/>
          </w:tcPr>
          <w:p>
            <w:r>
              <w:rPr>
                <w:rFonts w:ascii="Calibri" w:hAnsi="Calibri"/>
                <w:sz w:val="22"/>
              </w:rPr>
              <w:t>+0.2%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Premiums Written — P&amp;C (FY2026)</w:t>
            </w:r>
          </w:p>
        </w:tc>
        <w:tc>
          <w:tcPr>
            <w:tcW w:type="dxa" w:w="1080"/>
          </w:tcPr>
          <w:p>
            <w:r>
              <w:rPr>
                <w:rFonts w:ascii="Calibri" w:hAnsi="Calibri"/>
                <w:sz w:val="22"/>
              </w:rPr>
              <w:t>~$87,142M</w:t>
            </w:r>
          </w:p>
        </w:tc>
        <w:tc>
          <w:tcPr>
            <w:tcW w:type="dxa" w:w="1080"/>
          </w:tcPr>
          <w:p>
            <w:r>
              <w:rPr>
                <w:rFonts w:ascii="Calibri" w:hAnsi="Calibri"/>
                <w:sz w:val="22"/>
              </w:rPr>
              <w:t>$87,224M</w:t>
            </w:r>
          </w:p>
        </w:tc>
        <w:tc>
          <w:tcPr>
            <w:tcW w:type="dxa" w:w="1080"/>
          </w:tcPr>
          <w:p>
            <w:r>
              <w:rPr>
                <w:rFonts w:ascii="Calibri" w:hAnsi="Calibri"/>
                <w:sz w:val="22"/>
              </w:rPr>
              <w:t>+0.1%</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Estimates have been remarkably stable since the Q1 2026 print, with no material revision in either direction. The slight uptick in Q3 operating EPS consensus (+2.8%) reflects modest positive revision momentum, while combined ratio and NPW estimates are essentially unchanged. This stability suggests the Street is comfortable with the current setup and is not pricing in a significant positive or negative surprise. Source: Visible Alpha Consensus and Actuals Data; PGR Q1 2026 Earnings Call (May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PGR is down ~6.5% since the Q2 earnings release (July 15, 2026), underperforming both the KIE insurance ETF (+4.1%) and the S&amp;P 500 (+0.4%) over the same period — the Q2 print triggered a sharp sell-off driven by multiple compression rather than estimate cuts, as the stock de-rated from ~14.5x to ~12.6x NTM P/E over the past 12 months.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PGR vs. KIE (SPDR S&amp;P Insurance ETF) vs. S&amp;P 500 — Indexed to 100 at Q1 2026 Earnings Date (May 5, 2026). Source: Yahoo Finance / Stock Price Data.</w:t>
      </w:r>
    </w:p>
    <w:p>
      <w:r>
        <w:rPr>
          <w:rFonts w:ascii="Calibri" w:hAnsi="Calibri"/>
          <w:b/>
          <w:color w:val="525866"/>
          <w:sz w:val="22"/>
        </w:rPr>
        <w:t>Performance Summary (May 5, 2026 → August 4, 2026):</w:t>
      </w:r>
    </w:p>
    <w:p>
      <w:pPr>
        <w:pStyle w:val="ListBullet"/>
        <w:ind w:left="360" w:hanging="360"/>
      </w:pPr>
      <w:r>
        <w:rPr>
          <w:rFonts w:ascii="Calibri" w:hAnsi="Calibri"/>
          <w:b/>
          <w:color w:val="525866"/>
          <w:sz w:val="22"/>
        </w:rPr>
        <w:t xml:space="preserve">PGR: </w:t>
      </w:r>
      <w:r>
        <w:rPr>
          <w:rFonts w:ascii="Calibri" w:hAnsi="Calibri"/>
          <w:color w:val="525866"/>
          <w:sz w:val="22"/>
        </w:rPr>
        <w:t>+6.4% (indexed from 197.74 to 210.46) — but with significant intra-period volatility: rallied to $234 by July 13, then fell sharply on the Q2 print (July 15: $205.22, -12.4% from the July 13 high), and has partially recovered to ~$210.</w:t>
      </w:r>
    </w:p>
    <w:p>
      <w:pPr>
        <w:pStyle w:val="ListBullet"/>
        <w:ind w:left="360" w:hanging="360"/>
      </w:pPr>
      <w:r>
        <w:rPr>
          <w:rFonts w:ascii="Calibri" w:hAnsi="Calibri"/>
          <w:b/>
          <w:color w:val="525866"/>
          <w:sz w:val="22"/>
        </w:rPr>
        <w:t xml:space="preserve">KIE (SPDR S&amp;P Insurance ETF): </w:t>
      </w:r>
      <w:r>
        <w:rPr>
          <w:rFonts w:ascii="Calibri" w:hAnsi="Calibri"/>
          <w:color w:val="525866"/>
          <w:sz w:val="22"/>
        </w:rPr>
        <w:t>+14.4% (56.55 → 64.67) — the insurance sector broadly outperformed, driven by strong Q2 results from TRV, HIG, and CB.</w:t>
      </w:r>
    </w:p>
    <w:p>
      <w:pPr>
        <w:pStyle w:val="ListBullet"/>
        <w:ind w:left="360" w:hanging="360"/>
      </w:pPr>
      <w:r>
        <w:rPr>
          <w:rFonts w:ascii="Calibri" w:hAnsi="Calibri"/>
          <w:b/>
          <w:color w:val="525866"/>
          <w:sz w:val="22"/>
        </w:rPr>
        <w:t xml:space="preserve">S&amp;P 500 (SPY): </w:t>
      </w:r>
      <w:r>
        <w:rPr>
          <w:rFonts w:ascii="Calibri" w:hAnsi="Calibri"/>
          <w:color w:val="525866"/>
          <w:sz w:val="22"/>
        </w:rPr>
        <w:t>+4.7% (723.77 → 757.67) — broad market positive over the period.</w:t>
      </w:r>
    </w:p>
    <w:p>
      <w:pPr>
        <w:pStyle w:val="ListBullet"/>
        <w:ind w:left="360" w:hanging="360"/>
      </w:pPr>
      <w:r>
        <w:rPr>
          <w:rFonts w:ascii="Calibri" w:hAnsi="Calibri"/>
          <w:b/>
          <w:color w:val="525866"/>
          <w:sz w:val="22"/>
        </w:rPr>
        <w:t xml:space="preserve">Key event: </w:t>
      </w:r>
      <w:r>
        <w:rPr>
          <w:rFonts w:ascii="Calibri" w:hAnsi="Calibri"/>
          <w:color w:val="525866"/>
          <w:sz w:val="22"/>
        </w:rPr>
        <w:t>The July 15 Q2 earnings release was the dominant event — PGR fell ~9.4% on the day despite reporting a 87.3% combined ratio (slight beat), as the market reacted negatively to slowing NPW growth (+5% YoY vs. +18% in Q2 2025) and the stock’s elevated pre-print valuation.</w:t>
      </w:r>
    </w:p>
    <w:p>
      <w:pPr>
        <w:pStyle w:val="ListBullet"/>
        <w:ind w:left="360" w:hanging="360"/>
      </w:pPr>
      <w:r>
        <w:rPr>
          <w:rFonts w:ascii="Calibri" w:hAnsi="Calibri"/>
          <w:b/>
          <w:color w:val="525866"/>
          <w:sz w:val="22"/>
        </w:rPr>
        <w:t xml:space="preserve">Multiple decomposition: </w:t>
      </w:r>
      <w:r>
        <w:rPr>
          <w:rFonts w:ascii="Calibri" w:hAnsi="Calibri"/>
          <w:color w:val="525866"/>
          <w:sz w:val="22"/>
        </w:rPr>
        <w:t>Over the past 12 months, PGR’s NTM P/E has compressed from ~14.5x to ~12.6x (-13.3%), accounting for essentially all of the -13.0% 12-month price decline. Earnings revisions have been modestly negative but not the primary driver.</w:t>
      </w:r>
    </w:p>
    <w:p>
      <w:r>
        <w:br w:type="page"/>
      </w:r>
    </w:p>
    <w:p>
      <w:pPr>
        <w:pStyle w:val="Heading2"/>
      </w:pPr>
      <w:r>
        <w:rPr>
          <w:rFonts w:ascii="Calibri" w:hAnsi="Calibri"/>
          <w:b/>
          <w:color w:val="3B4259"/>
          <w:sz w:val="28"/>
        </w:rPr>
        <w:t>6. Peer Commentaries / Read-Throughs (Last 60 Days)</w:t>
      </w:r>
    </w:p>
    <w:p>
      <w:r>
        <w:rPr>
          <w:rFonts w:ascii="Calibri" w:hAnsi="Calibri"/>
          <w:b/>
          <w:color w:val="525866"/>
          <w:sz w:val="22"/>
        </w:rPr>
        <w:t xml:space="preserve">Screening Criteria: </w:t>
      </w:r>
      <w:r>
        <w:rPr>
          <w:rFonts w:ascii="Calibri" w:hAnsi="Calibri"/>
          <w:i/>
          <w:color w:val="525866"/>
          <w:sz w:val="22"/>
        </w:rPr>
        <w:t>Only commentary explicitly pertaining to Q3 2026 / current-quarter conditions or forward outlook is included below. Backward-looking Q2 2025 or Q2 2026 results commentary (e.g., peers discussing their own Q2 combined ratios or prior-period reserve development) has been excluded. All three peers — Travelers (TRV), Chubb (CB), and The Hartford (HIG) — reported Q2 2026 earnings in July 2026 and provided forward-looking commentary relevant to PGR’s Q3 2026 setup.</w:t>
      </w:r>
    </w:p>
    <w:p>
      <w:pPr>
        <w:pStyle w:val="Heading3"/>
      </w:pPr>
      <w:r>
        <w:rPr>
          <w:rFonts w:ascii="Calibri" w:hAnsi="Calibri"/>
          <w:b/>
          <w:color w:val="3B4259"/>
          <w:sz w:val="24"/>
        </w:rPr>
        <w:t>Travelers Companies (TRV) — Q2 2026 Earnings Call, July 17,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TRV Commentary (Forward-Looking)</w:t>
            </w:r>
          </w:p>
        </w:tc>
        <w:tc>
          <w:tcPr>
            <w:tcW w:type="dxa" w:w="2160"/>
            <w:shd w:val="clear" w:color="auto" w:fill="3B4259"/>
          </w:tcPr>
          <w:p>
            <w:r>
              <w:rPr>
                <w:rFonts w:ascii="Calibri" w:hAnsi="Calibri"/>
                <w:b/>
                <w:color w:val="FFFFFF"/>
                <w:sz w:val="22"/>
              </w:rPr>
              <w:t>PGR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Personal Auto Pricing</w:t>
            </w:r>
          </w:p>
        </w:tc>
        <w:tc>
          <w:tcPr>
            <w:tcW w:type="dxa" w:w="2160"/>
          </w:tcPr>
          <w:p>
            <w:r>
              <w:rPr>
                <w:rFonts w:ascii="Calibri" w:hAnsi="Calibri"/>
                <w:sz w:val="22"/>
              </w:rPr>
              <w:t>“Rate continues to be decreasing in personal auto” — Michael Klein, President of Personal Insurance. Renewal premium change moderating in both auto and homeowners due to “improved profitability” exceeding mid-teens ROE target.</w:t>
            </w:r>
          </w:p>
        </w:tc>
        <w:tc>
          <w:tcPr>
            <w:tcW w:type="dxa" w:w="2160"/>
          </w:tcPr>
          <w:p>
            <w:r>
              <w:rPr>
                <w:rFonts w:ascii="Calibri" w:hAnsi="Calibri"/>
                <w:sz w:val="22"/>
              </w:rPr>
              <w:t>Directly relevant: confirms industry-wide personal auto rate softening. PGR is also taking modest rate decreases in select states. Competitive pressure on pricing is a live headwind to NPW growth in Q3.</w:t>
            </w:r>
          </w:p>
        </w:tc>
        <w:tc>
          <w:tcPr>
            <w:tcW w:type="dxa" w:w="2160"/>
          </w:tcPr>
          <w:p>
            <w:r>
              <w:rPr>
                <w:rFonts w:ascii="Calibri" w:hAnsi="Calibri"/>
                <w:b/>
                <w:color w:val="E5484D"/>
                <w:sz w:val="22"/>
              </w:rPr>
              <w:t>Cautious</w:t>
            </w:r>
          </w:p>
        </w:tc>
      </w:tr>
      <w:tr>
        <w:tc>
          <w:tcPr>
            <w:tcW w:type="dxa" w:w="2160"/>
          </w:tcPr>
          <w:p>
            <w:r>
              <w:rPr>
                <w:rFonts w:ascii="Calibri" w:hAnsi="Calibri"/>
                <w:sz w:val="22"/>
              </w:rPr>
              <w:t>Investment Income Outlook</w:t>
            </w:r>
          </w:p>
        </w:tc>
        <w:tc>
          <w:tcPr>
            <w:tcW w:type="dxa" w:w="2160"/>
          </w:tcPr>
          <w:p>
            <w:r>
              <w:rPr>
                <w:rFonts w:ascii="Calibri" w:hAnsi="Calibri"/>
                <w:sz w:val="22"/>
              </w:rPr>
              <w:t>Fixed income NII expected at ~$840M in Q3 and ~$870M in Q4; “NII expected to continue to grow beyond 2026 as the portfolio becomes larger and new money rates continue to be higher than the yield embedded in the portfolio.” New money yields ~90 bps above embedded portfolio yield.</w:t>
            </w:r>
          </w:p>
        </w:tc>
        <w:tc>
          <w:tcPr>
            <w:tcW w:type="dxa" w:w="2160"/>
          </w:tcPr>
          <w:p>
            <w:r>
              <w:rPr>
                <w:rFonts w:ascii="Calibri" w:hAnsi="Calibri"/>
                <w:sz w:val="22"/>
              </w:rPr>
              <w:t>Positive read-through for PGR’s investment income in Q3. Both companies benefit from the same rate environment. PGR’s 4.2% book yield and growing float suggest continued NII tailwind.</w:t>
            </w:r>
          </w:p>
        </w:tc>
        <w:tc>
          <w:tcPr>
            <w:tcW w:type="dxa" w:w="2160"/>
          </w:tcPr>
          <w:p>
            <w:r>
              <w:rPr>
                <w:rFonts w:ascii="Calibri" w:hAnsi="Calibri"/>
                <w:b/>
                <w:color w:val="30A46C"/>
                <w:sz w:val="22"/>
              </w:rPr>
              <w:t>Positive</w:t>
            </w:r>
          </w:p>
        </w:tc>
      </w:tr>
      <w:tr>
        <w:tc>
          <w:tcPr>
            <w:tcW w:type="dxa" w:w="2160"/>
          </w:tcPr>
          <w:p>
            <w:r>
              <w:rPr>
                <w:rFonts w:ascii="Calibri" w:hAnsi="Calibri"/>
                <w:sz w:val="22"/>
              </w:rPr>
              <w:t>Competitive Environment</w:t>
            </w:r>
          </w:p>
        </w:tc>
        <w:tc>
          <w:tcPr>
            <w:tcW w:type="dxa" w:w="2160"/>
          </w:tcPr>
          <w:p>
            <w:r>
              <w:rPr>
                <w:rFonts w:ascii="Calibri" w:hAnsi="Calibri"/>
                <w:sz w:val="22"/>
              </w:rPr>
              <w:t>“This is a very competitive marketplace.” Growth “might be a little slower than it had been in recent years.” CEO Schnitzer: competing on pricing is “a fool’s errand.”</w:t>
            </w:r>
          </w:p>
        </w:tc>
        <w:tc>
          <w:tcPr>
            <w:tcW w:type="dxa" w:w="2160"/>
          </w:tcPr>
          <w:p>
            <w:r>
              <w:rPr>
                <w:rFonts w:ascii="Calibri" w:hAnsi="Calibri"/>
                <w:sz w:val="22"/>
              </w:rPr>
              <w:t>Confirms PGR’s own characterization of the market as “more and more competitive.” Implies NPW growth deceleration is an industry-wide phenomenon, not PGR-specific. Reduces idiosyncratic risk but confirms the structural headwind.</w:t>
            </w:r>
          </w:p>
        </w:tc>
        <w:tc>
          <w:tcPr>
            <w:tcW w:type="dxa" w:w="2160"/>
          </w:tcPr>
          <w:p>
            <w:r>
              <w:rPr>
                <w:rFonts w:ascii="Calibri" w:hAnsi="Calibri"/>
                <w:b/>
                <w:color w:val="002FA7"/>
                <w:sz w:val="22"/>
              </w:rPr>
              <w:t>Neutral</w:t>
            </w:r>
          </w:p>
        </w:tc>
      </w:tr>
      <w:tr>
        <w:tc>
          <w:tcPr>
            <w:tcW w:type="dxa" w:w="2160"/>
          </w:tcPr>
          <w:p>
            <w:r>
              <w:rPr>
                <w:rFonts w:ascii="Calibri" w:hAnsi="Calibri"/>
                <w:sz w:val="22"/>
              </w:rPr>
              <w:t>Weather / Cat Volatility</w:t>
            </w:r>
          </w:p>
        </w:tc>
        <w:tc>
          <w:tcPr>
            <w:tcW w:type="dxa" w:w="2160"/>
          </w:tcPr>
          <w:p>
            <w:r>
              <w:rPr>
                <w:rFonts w:ascii="Calibri" w:hAnsi="Calibri"/>
                <w:sz w:val="22"/>
              </w:rPr>
              <w:t>Schnitzer highlighted “resilience to catastrophes” driven by “disciplined risk selection, pricing and exposure management” and positioned TRV to “handle the prospect of continued weather volatility.”</w:t>
            </w:r>
          </w:p>
        </w:tc>
        <w:tc>
          <w:tcPr>
            <w:tcW w:type="dxa" w:w="2160"/>
          </w:tcPr>
          <w:p>
            <w:r>
              <w:rPr>
                <w:rFonts w:ascii="Calibri" w:hAnsi="Calibri"/>
                <w:sz w:val="22"/>
              </w:rPr>
              <w:t>Confirms that weather volatility is expected to persist in Q3 (peak cat season). PGR’s property book is smaller but growing; cat exposure is a live risk for the Q3 combined ratio.</w:t>
            </w:r>
          </w:p>
        </w:tc>
        <w:tc>
          <w:tcPr>
            <w:tcW w:type="dxa" w:w="2160"/>
          </w:tcPr>
          <w:p>
            <w:r>
              <w:rPr>
                <w:rFonts w:ascii="Calibri" w:hAnsi="Calibri"/>
                <w:b/>
                <w:color w:val="E5484D"/>
                <w:sz w:val="22"/>
              </w:rPr>
              <w:t>Cautious</w:t>
            </w:r>
          </w:p>
        </w:tc>
      </w:tr>
    </w:tbl>
    <w:p>
      <w:pPr>
        <w:pStyle w:val="Heading3"/>
      </w:pPr>
      <w:r>
        <w:rPr>
          <w:rFonts w:ascii="Calibri" w:hAnsi="Calibri"/>
          <w:b/>
          <w:color w:val="3B4259"/>
          <w:sz w:val="24"/>
        </w:rPr>
        <w:t>Chubb Limited (CB) — Q2 2026 Earnings Call, July 22,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CB Commentary (Forward-Looking)</w:t>
            </w:r>
          </w:p>
        </w:tc>
        <w:tc>
          <w:tcPr>
            <w:tcW w:type="dxa" w:w="2160"/>
            <w:shd w:val="clear" w:color="auto" w:fill="3B4259"/>
          </w:tcPr>
          <w:p>
            <w:r>
              <w:rPr>
                <w:rFonts w:ascii="Calibri" w:hAnsi="Calibri"/>
                <w:b/>
                <w:color w:val="FFFFFF"/>
                <w:sz w:val="22"/>
              </w:rPr>
              <w:t>PGR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Loss Cost Trends (Casualty)</w:t>
            </w:r>
          </w:p>
        </w:tc>
        <w:tc>
          <w:tcPr>
            <w:tcW w:type="dxa" w:w="2160"/>
          </w:tcPr>
          <w:p>
            <w:r>
              <w:rPr>
                <w:rFonts w:ascii="Calibri" w:hAnsi="Calibri"/>
                <w:sz w:val="22"/>
              </w:rPr>
              <w:t>CEO Greenberg: “U.S. casualty loss costs are rising at a pretty steady 6 to 7% for primary casualty, and 9.5 to 12% for excess, per year.” “There is zero evidence across the industry that loss costs have abated. They’re continuing to inflate at a steady rate.” Short-tail lines: “steady… bouncing around 4.5%.” These are industry-wide observations, not Chubb-specific.</w:t>
            </w:r>
          </w:p>
        </w:tc>
        <w:tc>
          <w:tcPr>
            <w:tcW w:type="dxa" w:w="2160"/>
          </w:tcPr>
          <w:p>
            <w:r>
              <w:rPr>
                <w:rFonts w:ascii="Calibri" w:hAnsi="Calibri"/>
                <w:sz w:val="22"/>
              </w:rPr>
              <w:t>Directly relevant to PGR’s commercial auto and personal auto liability lines. Persistent 6-7% primary casualty loss cost inflation is a structural headwind to PGR’s combined ratio in Q3. Short-tail 4.5% trend applies to PGR’s property lines. Confirms severity pressure is ongoing.</w:t>
            </w:r>
          </w:p>
        </w:tc>
        <w:tc>
          <w:tcPr>
            <w:tcW w:type="dxa" w:w="2160"/>
          </w:tcPr>
          <w:p>
            <w:r>
              <w:rPr>
                <w:rFonts w:ascii="Calibri" w:hAnsi="Calibri"/>
                <w:b/>
                <w:color w:val="E5484D"/>
                <w:sz w:val="22"/>
              </w:rPr>
              <w:t>Cautious</w:t>
            </w:r>
          </w:p>
        </w:tc>
      </w:tr>
      <w:tr>
        <w:tc>
          <w:tcPr>
            <w:tcW w:type="dxa" w:w="2160"/>
          </w:tcPr>
          <w:p>
            <w:r>
              <w:rPr>
                <w:rFonts w:ascii="Calibri" w:hAnsi="Calibri"/>
                <w:sz w:val="22"/>
              </w:rPr>
              <w:t>Commercial Lines Pricing</w:t>
            </w:r>
          </w:p>
        </w:tc>
        <w:tc>
          <w:tcPr>
            <w:tcW w:type="dxa" w:w="2160"/>
          </w:tcPr>
          <w:p>
            <w:r>
              <w:rPr>
                <w:rFonts w:ascii="Calibri" w:hAnsi="Calibri"/>
                <w:sz w:val="22"/>
              </w:rPr>
              <w:t>Casualty pricing in North America up 7.1% (rates +6.4%, exposure +0.7%), but Greenberg warned “pricing in certain areas of casualty are failing to keep pace with lost costs.” Soft market conditions spreading to more casualty lines.</w:t>
            </w:r>
          </w:p>
        </w:tc>
        <w:tc>
          <w:tcPr>
            <w:tcW w:type="dxa" w:w="2160"/>
          </w:tcPr>
          <w:p>
            <w:r>
              <w:rPr>
                <w:rFonts w:ascii="Calibri" w:hAnsi="Calibri"/>
                <w:sz w:val="22"/>
              </w:rPr>
              <w:t>Relevant to PGR’s commercial auto segment. Even with positive rate changes, margin compression risk exists if loss costs outpace pricing. PGR’s commercial auto has been a strong performer but faces the same industry dynamics.</w:t>
            </w:r>
          </w:p>
        </w:tc>
        <w:tc>
          <w:tcPr>
            <w:tcW w:type="dxa" w:w="2160"/>
          </w:tcPr>
          <w:p>
            <w:r>
              <w:rPr>
                <w:rFonts w:ascii="Calibri" w:hAnsi="Calibri"/>
                <w:b/>
                <w:color w:val="E5484D"/>
                <w:sz w:val="22"/>
              </w:rPr>
              <w:t>Cautious</w:t>
            </w:r>
          </w:p>
        </w:tc>
      </w:tr>
      <w:tr>
        <w:tc>
          <w:tcPr>
            <w:tcW w:type="dxa" w:w="2160"/>
          </w:tcPr>
          <w:p>
            <w:r>
              <w:rPr>
                <w:rFonts w:ascii="Calibri" w:hAnsi="Calibri"/>
                <w:sz w:val="22"/>
              </w:rPr>
              <w:t>Personal Lines (General Market Auto)</w:t>
            </w:r>
          </w:p>
        </w:tc>
        <w:tc>
          <w:tcPr>
            <w:tcW w:type="dxa" w:w="2160"/>
          </w:tcPr>
          <w:p>
            <w:r>
              <w:rPr>
                <w:rFonts w:ascii="Calibri" w:hAnsi="Calibri"/>
                <w:sz w:val="22"/>
              </w:rPr>
              <w:t>Greenberg explicitly stated Chubb is “not active” in general market personal auto. No read-through from CB’s high-net-worth personal lines to PGR’s mass-market personal auto.</w:t>
            </w:r>
          </w:p>
        </w:tc>
        <w:tc>
          <w:tcPr>
            <w:tcW w:type="dxa" w:w="2160"/>
          </w:tcPr>
          <w:p>
            <w:r>
              <w:rPr>
                <w:rFonts w:ascii="Calibri" w:hAnsi="Calibri"/>
                <w:sz w:val="22"/>
              </w:rPr>
              <w:t>No direct read-through. CB’s personal lines commentary is not applicable to PGR’s core business.</w:t>
            </w:r>
          </w:p>
        </w:tc>
        <w:tc>
          <w:tcPr>
            <w:tcW w:type="dxa" w:w="2160"/>
          </w:tcPr>
          <w:p>
            <w:r>
              <w:rPr>
                <w:rFonts w:ascii="Calibri" w:hAnsi="Calibri"/>
                <w:sz w:val="22"/>
              </w:rPr>
              <w:t>N/A</w:t>
            </w:r>
          </w:p>
        </w:tc>
      </w:tr>
    </w:tbl>
    <w:p>
      <w:pPr>
        <w:pStyle w:val="Heading3"/>
      </w:pPr>
      <w:r>
        <w:rPr>
          <w:rFonts w:ascii="Calibri" w:hAnsi="Calibri"/>
          <w:b/>
          <w:color w:val="3B4259"/>
          <w:sz w:val="24"/>
        </w:rPr>
        <w:t>The Hartford Financial Services (HIG) — Q2 2026 Earnings Call, July 24,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HIG Commentary (Forward-Looking)</w:t>
            </w:r>
          </w:p>
        </w:tc>
        <w:tc>
          <w:tcPr>
            <w:tcW w:type="dxa" w:w="2160"/>
            <w:shd w:val="clear" w:color="auto" w:fill="3B4259"/>
          </w:tcPr>
          <w:p>
            <w:r>
              <w:rPr>
                <w:rFonts w:ascii="Calibri" w:hAnsi="Calibri"/>
                <w:b/>
                <w:color w:val="FFFFFF"/>
                <w:sz w:val="22"/>
              </w:rPr>
              <w:t>PGR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Direct Channel Pressure</w:t>
            </w:r>
          </w:p>
        </w:tc>
        <w:tc>
          <w:tcPr>
            <w:tcW w:type="dxa" w:w="2160"/>
          </w:tcPr>
          <w:p>
            <w:r>
              <w:rPr>
                <w:rFonts w:ascii="Calibri" w:hAnsi="Calibri"/>
                <w:sz w:val="22"/>
              </w:rPr>
              <w:t>CEO Swift: “The direct channel, I think is going to continue to come under pressure. Shopping is going to remain elevated. Competition is going to remain strong.” Expects “a little bit of headwinds, particularly in direct as we head into 2027.”</w:t>
            </w:r>
          </w:p>
        </w:tc>
        <w:tc>
          <w:tcPr>
            <w:tcW w:type="dxa" w:w="2160"/>
          </w:tcPr>
          <w:p>
            <w:r>
              <w:rPr>
                <w:rFonts w:ascii="Calibri" w:hAnsi="Calibri"/>
                <w:sz w:val="22"/>
              </w:rPr>
              <w:t>Highly relevant: PGR has a significant direct personal auto presence. Elevated shopping is actually a tailwind for PGR’s new business acquisition (management noted “older, longer-tenured shoppers coming into market”), but competitive intensity in the direct channel could pressure retention and acquisition costs in Q3.</w:t>
            </w:r>
          </w:p>
        </w:tc>
        <w:tc>
          <w:tcPr>
            <w:tcW w:type="dxa" w:w="2160"/>
          </w:tcPr>
          <w:p>
            <w:r>
              <w:rPr>
                <w:rFonts w:ascii="Calibri" w:hAnsi="Calibri"/>
                <w:b/>
                <w:color w:val="002FA7"/>
                <w:sz w:val="22"/>
              </w:rPr>
              <w:t>Mixed</w:t>
            </w:r>
          </w:p>
        </w:tc>
      </w:tr>
      <w:tr>
        <w:tc>
          <w:tcPr>
            <w:tcW w:type="dxa" w:w="2160"/>
          </w:tcPr>
          <w:p>
            <w:r>
              <w:rPr>
                <w:rFonts w:ascii="Calibri" w:hAnsi="Calibri"/>
                <w:sz w:val="22"/>
              </w:rPr>
              <w:t>Agency Channel</w:t>
            </w:r>
          </w:p>
        </w:tc>
        <w:tc>
          <w:tcPr>
            <w:tcW w:type="dxa" w:w="2160"/>
          </w:tcPr>
          <w:p>
            <w:r>
              <w:rPr>
                <w:rFonts w:ascii="Calibri" w:hAnsi="Calibri"/>
                <w:sz w:val="22"/>
              </w:rPr>
              <w:t>HIG: “Very encouraged by everything we are seeing on the agency side, very strong execution by our teams and excellent progress toward our long-term growth objectives.”</w:t>
            </w:r>
          </w:p>
        </w:tc>
        <w:tc>
          <w:tcPr>
            <w:tcW w:type="dxa" w:w="2160"/>
          </w:tcPr>
          <w:p>
            <w:r>
              <w:rPr>
                <w:rFonts w:ascii="Calibri" w:hAnsi="Calibri"/>
                <w:sz w:val="22"/>
              </w:rPr>
              <w:t>Positive read-through for PGR’s agency channel, which is a key distribution pillar. Agency auto PIF grew 8% YoY in Q2 2026 for PGR. Strong agency market conditions support continued growth.</w:t>
            </w:r>
          </w:p>
        </w:tc>
        <w:tc>
          <w:tcPr>
            <w:tcW w:type="dxa" w:w="2160"/>
          </w:tcPr>
          <w:p>
            <w:r>
              <w:rPr>
                <w:rFonts w:ascii="Calibri" w:hAnsi="Calibri"/>
                <w:b/>
                <w:color w:val="30A46C"/>
                <w:sz w:val="22"/>
              </w:rPr>
              <w:t>Positive</w:t>
            </w:r>
          </w:p>
        </w:tc>
      </w:tr>
      <w:tr>
        <w:tc>
          <w:tcPr>
            <w:tcW w:type="dxa" w:w="2160"/>
          </w:tcPr>
          <w:p>
            <w:r>
              <w:rPr>
                <w:rFonts w:ascii="Calibri" w:hAnsi="Calibri"/>
                <w:sz w:val="22"/>
              </w:rPr>
              <w:t>Expense Ratio Pressure</w:t>
            </w:r>
          </w:p>
        </w:tc>
        <w:tc>
          <w:tcPr>
            <w:tcW w:type="dxa" w:w="2160"/>
          </w:tcPr>
          <w:p>
            <w:r>
              <w:rPr>
                <w:rFonts w:ascii="Calibri" w:hAnsi="Calibri"/>
                <w:sz w:val="22"/>
              </w:rPr>
              <w:t>Swift: “Increasing pressure in personal insurance to hit the goals there… a substantially higher bar to achieve right now, just given growth dynamics, the competitive marketplace.”</w:t>
            </w:r>
          </w:p>
        </w:tc>
        <w:tc>
          <w:tcPr>
            <w:tcW w:type="dxa" w:w="2160"/>
          </w:tcPr>
          <w:p>
            <w:r>
              <w:rPr>
                <w:rFonts w:ascii="Calibri" w:hAnsi="Calibri"/>
                <w:sz w:val="22"/>
              </w:rPr>
              <w:t>Relevant: PGR is deploying record media spend (Q1 2026 was the highest ever) to sustain growth. Expense ratio pressure in a competitive market is a shared industry challenge. PGR’s technology advantage may provide some offset.</w:t>
            </w:r>
          </w:p>
        </w:tc>
        <w:tc>
          <w:tcPr>
            <w:tcW w:type="dxa" w:w="2160"/>
          </w:tcPr>
          <w:p>
            <w:r>
              <w:rPr>
                <w:rFonts w:ascii="Calibri" w:hAnsi="Calibri"/>
                <w:b/>
                <w:color w:val="E5484D"/>
                <w:sz w:val="22"/>
              </w:rPr>
              <w:t>Cautious</w:t>
            </w:r>
          </w:p>
        </w:tc>
      </w:tr>
      <w:tr>
        <w:tc>
          <w:tcPr>
            <w:tcW w:type="dxa" w:w="2160"/>
          </w:tcPr>
          <w:p>
            <w:r>
              <w:rPr>
                <w:rFonts w:ascii="Calibri" w:hAnsi="Calibri"/>
                <w:sz w:val="22"/>
              </w:rPr>
              <w:t>Investment Income (H2 2026)</w:t>
            </w:r>
          </w:p>
        </w:tc>
        <w:tc>
          <w:tcPr>
            <w:tcW w:type="dxa" w:w="2160"/>
          </w:tcPr>
          <w:p>
            <w:r>
              <w:rPr>
                <w:rFonts w:ascii="Calibri" w:hAnsi="Calibri"/>
                <w:sz w:val="22"/>
              </w:rPr>
              <w:t>CFO Costello: “For full year 2026, we continue to expect net investment income to increase, supported by growth in invested assets, with overall portfolio yields expected to remain broadly in line with 2025.”</w:t>
            </w:r>
          </w:p>
        </w:tc>
        <w:tc>
          <w:tcPr>
            <w:tcW w:type="dxa" w:w="2160"/>
          </w:tcPr>
          <w:p>
            <w:r>
              <w:rPr>
                <w:rFonts w:ascii="Calibri" w:hAnsi="Calibri"/>
                <w:sz w:val="22"/>
              </w:rPr>
              <w:t>Positive read-through for PGR’s Q3 investment income. Consistent with TRV’s commentary — the investment income tailwind is an industry-wide positive for H2 2026.</w:t>
            </w:r>
          </w:p>
        </w:tc>
        <w:tc>
          <w:tcPr>
            <w:tcW w:type="dxa" w:w="2160"/>
          </w:tcPr>
          <w:p>
            <w:r>
              <w:rPr>
                <w:rFonts w:ascii="Calibri" w:hAnsi="Calibri"/>
                <w:b/>
                <w:color w:val="30A46C"/>
                <w:sz w:val="22"/>
              </w:rPr>
              <w:t>Positive</w:t>
            </w:r>
          </w:p>
        </w:tc>
      </w:tr>
      <w:tr>
        <w:tc>
          <w:tcPr>
            <w:tcW w:type="dxa" w:w="2160"/>
          </w:tcPr>
          <w:p>
            <w:r>
              <w:rPr>
                <w:rFonts w:ascii="Calibri" w:hAnsi="Calibri"/>
                <w:sz w:val="22"/>
              </w:rPr>
              <w:t>Small Commercial / Loss Trends</w:t>
            </w:r>
          </w:p>
        </w:tc>
        <w:tc>
          <w:tcPr>
            <w:tcW w:type="dxa" w:w="2160"/>
          </w:tcPr>
          <w:p>
            <w:r>
              <w:rPr>
                <w:rFonts w:ascii="Calibri" w:hAnsi="Calibri"/>
                <w:sz w:val="22"/>
              </w:rPr>
              <w:t>HIG CFO: “Very, very minor impact” on forward loss trends in casualty lines from prior year development. Loss trend impact was “tenths of basis points.”</w:t>
            </w:r>
          </w:p>
        </w:tc>
        <w:tc>
          <w:tcPr>
            <w:tcW w:type="dxa" w:w="2160"/>
          </w:tcPr>
          <w:p>
            <w:r>
              <w:rPr>
                <w:rFonts w:ascii="Calibri" w:hAnsi="Calibri"/>
                <w:sz w:val="22"/>
              </w:rPr>
              <w:t>Modestly positive read-through for PGR’s auto liability lines — suggests broader casualty loss trends may be relatively stable heading into Q3, with no significant adverse shifts anticipated.</w:t>
            </w:r>
          </w:p>
        </w:tc>
        <w:tc>
          <w:tcPr>
            <w:tcW w:type="dxa" w:w="2160"/>
          </w:tcPr>
          <w:p>
            <w:r>
              <w:rPr>
                <w:rFonts w:ascii="Calibri" w:hAnsi="Calibri"/>
                <w:b/>
                <w:color w:val="30A46C"/>
                <w:sz w:val="22"/>
              </w:rPr>
              <w:t>Positive</w:t>
            </w:r>
          </w:p>
        </w:tc>
      </w:tr>
    </w:tbl>
    <w:p>
      <w:r>
        <w:rPr>
          <w:rFonts w:ascii="Calibri" w:hAnsi="Calibri"/>
          <w:b/>
          <w:color w:val="525866"/>
          <w:sz w:val="22"/>
        </w:rPr>
        <w:t xml:space="preserve">Peer Commentary Summary: </w:t>
      </w:r>
      <w:r>
        <w:rPr>
          <w:rFonts w:ascii="Calibri" w:hAnsi="Calibri"/>
          <w:color w:val="525866"/>
          <w:sz w:val="22"/>
        </w:rPr>
        <w:t xml:space="preserve">The dominant forward-looking read-through from peers is a </w:t>
      </w:r>
      <w:r>
        <w:rPr>
          <w:rFonts w:ascii="Calibri" w:hAnsi="Calibri"/>
          <w:b/>
          <w:color w:val="525866"/>
          <w:sz w:val="22"/>
        </w:rPr>
        <w:t>bifurcated picture</w:t>
      </w:r>
      <w:r>
        <w:rPr>
          <w:rFonts w:ascii="Calibri" w:hAnsi="Calibri"/>
          <w:i/>
          <w:color w:val="525866"/>
          <w:sz w:val="22"/>
        </w:rPr>
        <w:t>: (1) investment income is a clear positive tailwind for Q3 across the industry; (2) personal auto pricing is softening and competitive intensity is elevated, creating NPW growth headwinds; (3) casualty loss cost inflation (6-7% per Chubb) is a persistent structural pressure; and (4) the direct channel faces more headwinds than the agency channel. On balance, the peer read-throughs are modestly cautious for PGR’s Q3 combined ratio and NPW growth, while supportive of investment income. Sources: TRV Q2 2026 Earnings Call (July 17, 2026); CB Q2 2026 Earnings Call (July 22, 2026); HIG Q2 2026 Earnings Call (July 24,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August 4, 2026 Robinson/property investor deep-dive is the single most important near-term catalyst — management’s ability to articulate a credible $40-50B growth roadmap could re-rate the stock, while the Q2 earnings release confirmed PGR is now the #1 U.S. personal auto insurer but at a decelerating growth pace that the market has already punished.</w:t>
      </w:r>
    </w:p>
    <w:p>
      <w:pPr>
        <w:pStyle w:val="ListBullet"/>
        <w:ind w:left="360" w:hanging="360"/>
      </w:pPr>
      <w:r>
        <w:rPr>
          <w:rFonts w:ascii="Calibri" w:hAnsi="Calibri"/>
          <w:b/>
          <w:color w:val="525866"/>
          <w:sz w:val="22"/>
        </w:rPr>
        <w:t xml:space="preserve">August 4, 2026 — Robinson/Property Investor Deep-Dive (Scheduled): </w:t>
      </w:r>
      <w:r>
        <w:rPr>
          <w:rFonts w:ascii="Calibri" w:hAnsi="Calibri"/>
          <w:color w:val="525866"/>
          <w:sz w:val="22"/>
        </w:rPr>
        <w:t>PGR’s Q2 2026 earnings release (July 15) announced a dedicated ~45-minute investor presentation on the Robinson consumer segment, followed by Q&amp;A with CEO Tricia Griffith and new CFO Andrew Quigg. This is the primary near-term catalyst — management has framed Robinson as a $40-50B top-line opportunity representing ~40% of the $240B U.S. personal lines market. Execution credibility and timeline will be the key investor focus.</w:t>
      </w:r>
    </w:p>
    <w:p>
      <w:pPr>
        <w:pStyle w:val="ListBullet"/>
        <w:ind w:left="360" w:hanging="360"/>
      </w:pPr>
      <w:r>
        <w:rPr>
          <w:rFonts w:ascii="Calibri" w:hAnsi="Calibri"/>
          <w:b/>
          <w:color w:val="525866"/>
          <w:sz w:val="22"/>
        </w:rPr>
        <w:t xml:space="preserve">July 15, 2026 — Q2 2026 Earnings Release (Negative Surprise): </w:t>
      </w:r>
      <w:r>
        <w:rPr>
          <w:rFonts w:ascii="Calibri" w:hAnsi="Calibri"/>
          <w:color w:val="525866"/>
          <w:sz w:val="22"/>
        </w:rPr>
        <w:t>PGR reported Q2 2026 NPW of $21.1B (+5% YoY), combined ratio of 87.3%, and total PIF of 40.1M (+7% YoY). The stock fell ~9.4% on the day despite the combined ratio beat, as the market reacted to the sharp deceleration in NPW growth from +18% in Q2 2025. A one-time favorable 11.7-point actuarial methodology adjustment in the property segment (IBNR reserves) boosted the June monthly combined ratio but was explicitly flagged as non-recurring. JP Morgan downgraded PGR to Neutral from Overweight on July 14, 2026 (the day before the print).</w:t>
      </w:r>
    </w:p>
    <w:p>
      <w:pPr>
        <w:pStyle w:val="ListBullet"/>
        <w:ind w:left="360" w:hanging="360"/>
      </w:pPr>
      <w:r>
        <w:rPr>
          <w:rFonts w:ascii="Calibri" w:hAnsi="Calibri"/>
          <w:b/>
          <w:color w:val="525866"/>
          <w:sz w:val="22"/>
        </w:rPr>
        <w:t xml:space="preserve">July 15, 2026 — PGR Confirmed as #1 U.S. Personal Auto Insurer: </w:t>
      </w:r>
      <w:r>
        <w:rPr>
          <w:rFonts w:ascii="Calibri" w:hAnsi="Calibri"/>
          <w:color w:val="525866"/>
          <w:sz w:val="22"/>
        </w:rPr>
        <w:t>The Q2 2026 release confirmed PGR has reached the milestone of becoming the largest personal auto insurer in the United States, with ~18.6% market share after gaining ~1.9 points in 2025 alone — an unprecedented two consecutive years of 1.5+ point gains among top-20 carriers going back to at least 1996.</w:t>
      </w:r>
    </w:p>
    <w:p>
      <w:pPr>
        <w:pStyle w:val="ListBullet"/>
        <w:ind w:left="360" w:hanging="360"/>
      </w:pPr>
      <w:r>
        <w:rPr>
          <w:rFonts w:ascii="Calibri" w:hAnsi="Calibri"/>
          <w:b/>
          <w:color w:val="525866"/>
          <w:sz w:val="22"/>
        </w:rPr>
        <w:t xml:space="preserve">July 14, 2026 — JP Morgan Downgrade to Neutral: </w:t>
      </w:r>
      <w:r>
        <w:rPr>
          <w:rFonts w:ascii="Calibri" w:hAnsi="Calibri"/>
          <w:color w:val="525866"/>
          <w:sz w:val="22"/>
        </w:rPr>
        <w:t>JP Morgan downgraded PGR from Overweight to Neutral ahead of the Q2 print, citing valuation concerns and the risk of growth deceleration. This was the only analyst rating change in the period and preceded the stock’s sharp post-earnings decline.</w:t>
      </w:r>
    </w:p>
    <w:p>
      <w:pPr>
        <w:pStyle w:val="ListBullet"/>
        <w:ind w:left="360" w:hanging="360"/>
      </w:pPr>
      <w:r>
        <w:rPr>
          <w:rFonts w:ascii="Calibri" w:hAnsi="Calibri"/>
          <w:b/>
          <w:color w:val="525866"/>
          <w:sz w:val="22"/>
        </w:rPr>
        <w:t xml:space="preserve">June 17, 2026 — CFO Transition Announced: </w:t>
      </w:r>
      <w:r>
        <w:rPr>
          <w:rFonts w:ascii="Calibri" w:hAnsi="Calibri"/>
          <w:color w:val="525866"/>
          <w:sz w:val="22"/>
        </w:rPr>
        <w:t>PGR announced that John Sutherland (CFO) will retire in July 2026, with Andrew Quigg assuming the CFO role. Quigg’s compensation details were disclosed in an 8-K. Additionally, the Personal Lines President retirement was announced. The CFO transition is proceeding as planned and is not expected to disrupt strategy.</w:t>
      </w:r>
    </w:p>
    <w:p>
      <w:pPr>
        <w:pStyle w:val="ListBullet"/>
        <w:ind w:left="360" w:hanging="360"/>
      </w:pPr>
      <w:r>
        <w:rPr>
          <w:rFonts w:ascii="Calibri" w:hAnsi="Calibri"/>
          <w:b/>
          <w:color w:val="525866"/>
          <w:sz w:val="22"/>
        </w:rPr>
        <w:t xml:space="preserve">May 12, 2026 — Share Buyback Renewal &amp; Dividend Declaration: </w:t>
      </w:r>
      <w:r>
        <w:rPr>
          <w:rFonts w:ascii="Calibri" w:hAnsi="Calibri"/>
          <w:color w:val="525866"/>
          <w:sz w:val="22"/>
        </w:rPr>
        <w:t>PGR renewed its share repurchase authorization and declared a dividend, consistent with management’s capital return framework. Wolfe Research estimates ~$13B in excess capital, with $6.6B in dividends and $2.3B in buybacks expected in 2026.</w:t>
      </w:r>
    </w:p>
    <w:p>
      <w:pPr>
        <w:pStyle w:val="ListBullet"/>
        <w:ind w:left="360" w:hanging="360"/>
      </w:pPr>
      <w:r>
        <w:rPr>
          <w:rFonts w:ascii="Calibri" w:hAnsi="Calibri"/>
          <w:b/>
          <w:color w:val="525866"/>
          <w:sz w:val="22"/>
        </w:rPr>
        <w:t xml:space="preserve">July 20, 2026 — WSJ Capital Allocation Article: </w:t>
      </w:r>
      <w:r>
        <w:rPr>
          <w:rFonts w:ascii="Calibri" w:hAnsi="Calibri"/>
          <w:color w:val="525866"/>
          <w:sz w:val="22"/>
        </w:rPr>
        <w:t>The Wall Street Journal reported on PGR’s “nice-to-have problem” of excess capital deployment, noting the company paid a record $8B dividend in 2025 and now faces decisions on whether to repeat the mega-payout or deploy capital differently. This highlights the capital return optionality as a potential positive catalyst.</w:t>
      </w:r>
    </w:p>
    <w:p>
      <w:pPr>
        <w:pStyle w:val="ListBullet"/>
        <w:ind w:left="360" w:hanging="360"/>
      </w:pPr>
      <w:r>
        <w:rPr>
          <w:rFonts w:ascii="Calibri" w:hAnsi="Calibri"/>
          <w:b/>
          <w:color w:val="525866"/>
          <w:sz w:val="22"/>
        </w:rPr>
        <w:t xml:space="preserve">Macro Watch — Fuel Prices, Tariffs, Geopolitical Risks: </w:t>
      </w:r>
      <w:r>
        <w:rPr>
          <w:rFonts w:ascii="Calibri" w:hAnsi="Calibri"/>
          <w:color w:val="525866"/>
          <w:sz w:val="22"/>
        </w:rPr>
        <w:t>Management explicitly flagged these as potential future headwinds on the Q1 2026 call. Higher fuel prices could reduce frequency (fewer discretionary miles) but increase severity (broader inflationary pressures). The Iran conflict and tariff environment remain live macro risks for Q3 loss trends.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2026 earnings call are sales, and the vast majority are pre-planned 10b5-1 transactions — the notable exception is Director Jeffrey Kelly’s discretionary open-market sale on June 24, which is the only non-plan sale and warrants monitoring. The cluster of 10b5-1 sales immediately following the Q2 earnings release (July 27-28) is routine post-earnings plan execution and carries no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Griffith, Susan Patricia</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37,338</w:t>
            </w:r>
          </w:p>
        </w:tc>
        <w:tc>
          <w:tcPr>
            <w:tcW w:type="dxa" w:w="1440"/>
          </w:tcPr>
          <w:p>
            <w:r>
              <w:rPr>
                <w:rFonts w:ascii="Calibri" w:hAnsi="Calibri"/>
                <w:sz w:val="22"/>
              </w:rPr>
              <w:t>Jul 27, 2026</w:t>
            </w:r>
          </w:p>
        </w:tc>
        <w:tc>
          <w:tcPr>
            <w:tcW w:type="dxa" w:w="1440"/>
          </w:tcPr>
          <w:p>
            <w:r>
              <w:rPr>
                <w:rFonts w:ascii="Calibri" w:hAnsi="Calibri"/>
                <w:sz w:val="22"/>
              </w:rPr>
              <w:t>Plan established Mar 30, 2026; ~7% of holdings; routine post-earnings plan execution</w:t>
            </w:r>
          </w:p>
        </w:tc>
      </w:tr>
      <w:tr>
        <w:tc>
          <w:tcPr>
            <w:tcW w:type="dxa" w:w="1440"/>
          </w:tcPr>
          <w:p>
            <w:r>
              <w:rPr>
                <w:rFonts w:ascii="Calibri" w:hAnsi="Calibri"/>
                <w:sz w:val="22"/>
              </w:rPr>
              <w:t>Bailo, Karen</w:t>
            </w:r>
          </w:p>
        </w:tc>
        <w:tc>
          <w:tcPr>
            <w:tcW w:type="dxa" w:w="1440"/>
          </w:tcPr>
          <w:p>
            <w:r>
              <w:rPr>
                <w:rFonts w:ascii="Calibri" w:hAnsi="Calibri"/>
                <w:sz w:val="22"/>
              </w:rPr>
              <w:t>Commercial Lines President</w:t>
            </w:r>
          </w:p>
        </w:tc>
        <w:tc>
          <w:tcPr>
            <w:tcW w:type="dxa" w:w="1440"/>
          </w:tcPr>
          <w:p>
            <w:r>
              <w:rPr>
                <w:rFonts w:ascii="Calibri" w:hAnsi="Calibri"/>
                <w:sz w:val="22"/>
              </w:rPr>
              <w:t>10b5-1 Planned Sale</w:t>
            </w:r>
          </w:p>
        </w:tc>
        <w:tc>
          <w:tcPr>
            <w:tcW w:type="dxa" w:w="1440"/>
          </w:tcPr>
          <w:p>
            <w:r>
              <w:rPr>
                <w:rFonts w:ascii="Calibri" w:hAnsi="Calibri"/>
                <w:sz w:val="22"/>
              </w:rPr>
              <w:t>8,452</w:t>
            </w:r>
          </w:p>
        </w:tc>
        <w:tc>
          <w:tcPr>
            <w:tcW w:type="dxa" w:w="1440"/>
          </w:tcPr>
          <w:p>
            <w:r>
              <w:rPr>
                <w:rFonts w:ascii="Calibri" w:hAnsi="Calibri"/>
                <w:sz w:val="22"/>
              </w:rPr>
              <w:t>Jul 27, 2026</w:t>
            </w:r>
          </w:p>
        </w:tc>
        <w:tc>
          <w:tcPr>
            <w:tcW w:type="dxa" w:w="1440"/>
          </w:tcPr>
          <w:p>
            <w:r>
              <w:rPr>
                <w:rFonts w:ascii="Calibri" w:hAnsi="Calibri"/>
                <w:sz w:val="22"/>
              </w:rPr>
              <w:t>Plan established Nov 20, 2025; ~21% of holdings</w:t>
            </w:r>
          </w:p>
        </w:tc>
      </w:tr>
      <w:tr>
        <w:tc>
          <w:tcPr>
            <w:tcW w:type="dxa" w:w="1440"/>
          </w:tcPr>
          <w:p>
            <w:r>
              <w:rPr>
                <w:rFonts w:ascii="Calibri" w:hAnsi="Calibri"/>
                <w:sz w:val="22"/>
              </w:rPr>
              <w:t>Murphy, John Jo</w:t>
            </w:r>
          </w:p>
        </w:tc>
        <w:tc>
          <w:tcPr>
            <w:tcW w:type="dxa" w:w="1440"/>
          </w:tcPr>
          <w:p>
            <w:r>
              <w:rPr>
                <w:rFonts w:ascii="Calibri" w:hAnsi="Calibri"/>
                <w:sz w:val="22"/>
              </w:rPr>
              <w:t>Claims President</w:t>
            </w:r>
          </w:p>
        </w:tc>
        <w:tc>
          <w:tcPr>
            <w:tcW w:type="dxa" w:w="1440"/>
          </w:tcPr>
          <w:p>
            <w:r>
              <w:rPr>
                <w:rFonts w:ascii="Calibri" w:hAnsi="Calibri"/>
                <w:sz w:val="22"/>
              </w:rPr>
              <w:t>10b5-1 Planned Sale</w:t>
            </w:r>
          </w:p>
        </w:tc>
        <w:tc>
          <w:tcPr>
            <w:tcW w:type="dxa" w:w="1440"/>
          </w:tcPr>
          <w:p>
            <w:r>
              <w:rPr>
                <w:rFonts w:ascii="Calibri" w:hAnsi="Calibri"/>
                <w:sz w:val="22"/>
              </w:rPr>
              <w:t>8,124</w:t>
            </w:r>
          </w:p>
        </w:tc>
        <w:tc>
          <w:tcPr>
            <w:tcW w:type="dxa" w:w="1440"/>
          </w:tcPr>
          <w:p>
            <w:r>
              <w:rPr>
                <w:rFonts w:ascii="Calibri" w:hAnsi="Calibri"/>
                <w:sz w:val="22"/>
              </w:rPr>
              <w:t>Jul 27, 2026</w:t>
            </w:r>
          </w:p>
        </w:tc>
        <w:tc>
          <w:tcPr>
            <w:tcW w:type="dxa" w:w="1440"/>
          </w:tcPr>
          <w:p>
            <w:r>
              <w:rPr>
                <w:rFonts w:ascii="Calibri" w:hAnsi="Calibri"/>
                <w:sz w:val="22"/>
              </w:rPr>
              <w:t>Plan established Feb 19, 2026; ~16% of holdings</w:t>
            </w:r>
          </w:p>
        </w:tc>
      </w:tr>
      <w:tr>
        <w:tc>
          <w:tcPr>
            <w:tcW w:type="dxa" w:w="1440"/>
          </w:tcPr>
          <w:p>
            <w:r>
              <w:rPr>
                <w:rFonts w:ascii="Calibri" w:hAnsi="Calibri"/>
                <w:sz w:val="22"/>
              </w:rPr>
              <w:t>Bauer, Jonathan S.</w:t>
            </w:r>
          </w:p>
        </w:tc>
        <w:tc>
          <w:tcPr>
            <w:tcW w:type="dxa" w:w="1440"/>
          </w:tcPr>
          <w:p>
            <w:r>
              <w:rPr>
                <w:rFonts w:ascii="Calibri" w:hAnsi="Calibri"/>
                <w:sz w:val="22"/>
              </w:rPr>
              <w:t>Chief Investment Officer</w:t>
            </w:r>
          </w:p>
        </w:tc>
        <w:tc>
          <w:tcPr>
            <w:tcW w:type="dxa" w:w="1440"/>
          </w:tcPr>
          <w:p>
            <w:r>
              <w:rPr>
                <w:rFonts w:ascii="Calibri" w:hAnsi="Calibri"/>
                <w:sz w:val="22"/>
              </w:rPr>
              <w:t>10b5-1 Planned Sale</w:t>
            </w:r>
          </w:p>
        </w:tc>
        <w:tc>
          <w:tcPr>
            <w:tcW w:type="dxa" w:w="1440"/>
          </w:tcPr>
          <w:p>
            <w:r>
              <w:rPr>
                <w:rFonts w:ascii="Calibri" w:hAnsi="Calibri"/>
                <w:sz w:val="22"/>
              </w:rPr>
              <w:t>2,242</w:t>
            </w:r>
          </w:p>
        </w:tc>
        <w:tc>
          <w:tcPr>
            <w:tcW w:type="dxa" w:w="1440"/>
          </w:tcPr>
          <w:p>
            <w:r>
              <w:rPr>
                <w:rFonts w:ascii="Calibri" w:hAnsi="Calibri"/>
                <w:sz w:val="22"/>
              </w:rPr>
              <w:t>Jul 27, 2026</w:t>
            </w:r>
          </w:p>
        </w:tc>
        <w:tc>
          <w:tcPr>
            <w:tcW w:type="dxa" w:w="1440"/>
          </w:tcPr>
          <w:p>
            <w:r>
              <w:rPr>
                <w:rFonts w:ascii="Calibri" w:hAnsi="Calibri"/>
                <w:sz w:val="22"/>
              </w:rPr>
              <w:t>Plan established Aug 21, 2025; ~8% of holdings</w:t>
            </w:r>
          </w:p>
        </w:tc>
      </w:tr>
      <w:tr>
        <w:tc>
          <w:tcPr>
            <w:tcW w:type="dxa" w:w="1440"/>
          </w:tcPr>
          <w:p>
            <w:r>
              <w:rPr>
                <w:rFonts w:ascii="Calibri" w:hAnsi="Calibri"/>
                <w:sz w:val="22"/>
              </w:rPr>
              <w:t>Quigg, Andrew J.</w:t>
            </w:r>
          </w:p>
        </w:tc>
        <w:tc>
          <w:tcPr>
            <w:tcW w:type="dxa" w:w="1440"/>
          </w:tcPr>
          <w:p>
            <w:r>
              <w:rPr>
                <w:rFonts w:ascii="Calibri" w:hAnsi="Calibri"/>
                <w:sz w:val="22"/>
              </w:rPr>
              <w:t>VP &amp; Chief Financial Officer</w:t>
            </w:r>
          </w:p>
        </w:tc>
        <w:tc>
          <w:tcPr>
            <w:tcW w:type="dxa" w:w="1440"/>
          </w:tcPr>
          <w:p>
            <w:r>
              <w:rPr>
                <w:rFonts w:ascii="Calibri" w:hAnsi="Calibri"/>
                <w:sz w:val="22"/>
              </w:rPr>
              <w:t>10b5-1 Planned Sale</w:t>
            </w:r>
          </w:p>
        </w:tc>
        <w:tc>
          <w:tcPr>
            <w:tcW w:type="dxa" w:w="1440"/>
          </w:tcPr>
          <w:p>
            <w:r>
              <w:rPr>
                <w:rFonts w:ascii="Calibri" w:hAnsi="Calibri"/>
                <w:sz w:val="22"/>
              </w:rPr>
              <w:t>3,499</w:t>
            </w:r>
          </w:p>
        </w:tc>
        <w:tc>
          <w:tcPr>
            <w:tcW w:type="dxa" w:w="1440"/>
          </w:tcPr>
          <w:p>
            <w:r>
              <w:rPr>
                <w:rFonts w:ascii="Calibri" w:hAnsi="Calibri"/>
                <w:sz w:val="22"/>
              </w:rPr>
              <w:t>Jul 28, 2026</w:t>
            </w:r>
          </w:p>
        </w:tc>
        <w:tc>
          <w:tcPr>
            <w:tcW w:type="dxa" w:w="1440"/>
          </w:tcPr>
          <w:p>
            <w:r>
              <w:rPr>
                <w:rFonts w:ascii="Calibri" w:hAnsi="Calibri"/>
                <w:sz w:val="22"/>
              </w:rPr>
              <w:t>Plan established Jan 29, 2026; ~8% of holdings; new CFO’s first disclosed sale</w:t>
            </w:r>
          </w:p>
        </w:tc>
      </w:tr>
      <w:tr>
        <w:tc>
          <w:tcPr>
            <w:tcW w:type="dxa" w:w="1440"/>
          </w:tcPr>
          <w:p>
            <w:r>
              <w:rPr>
                <w:rFonts w:ascii="Calibri" w:hAnsi="Calibri"/>
                <w:sz w:val="22"/>
              </w:rPr>
              <w:t>Broz, Steven</w:t>
            </w:r>
          </w:p>
        </w:tc>
        <w:tc>
          <w:tcPr>
            <w:tcW w:type="dxa" w:w="1440"/>
          </w:tcPr>
          <w:p>
            <w:r>
              <w:rPr>
                <w:rFonts w:ascii="Calibri" w:hAnsi="Calibri"/>
                <w:sz w:val="22"/>
              </w:rPr>
              <w:t>Chief Information Officer</w:t>
            </w:r>
          </w:p>
        </w:tc>
        <w:tc>
          <w:tcPr>
            <w:tcW w:type="dxa" w:w="1440"/>
          </w:tcPr>
          <w:p>
            <w:r>
              <w:rPr>
                <w:rFonts w:ascii="Calibri" w:hAnsi="Calibri"/>
                <w:sz w:val="22"/>
              </w:rPr>
              <w:t>10b5-1 Planned Sale</w:t>
            </w:r>
          </w:p>
        </w:tc>
        <w:tc>
          <w:tcPr>
            <w:tcW w:type="dxa" w:w="1440"/>
          </w:tcPr>
          <w:p>
            <w:r>
              <w:rPr>
                <w:rFonts w:ascii="Calibri" w:hAnsi="Calibri"/>
                <w:sz w:val="22"/>
              </w:rPr>
              <w:t>1,156</w:t>
            </w:r>
          </w:p>
        </w:tc>
        <w:tc>
          <w:tcPr>
            <w:tcW w:type="dxa" w:w="1440"/>
          </w:tcPr>
          <w:p>
            <w:r>
              <w:rPr>
                <w:rFonts w:ascii="Calibri" w:hAnsi="Calibri"/>
                <w:sz w:val="22"/>
              </w:rPr>
              <w:t>Jul 23, 2026</w:t>
            </w:r>
          </w:p>
        </w:tc>
        <w:tc>
          <w:tcPr>
            <w:tcW w:type="dxa" w:w="1440"/>
          </w:tcPr>
          <w:p>
            <w:r>
              <w:rPr>
                <w:rFonts w:ascii="Calibri" w:hAnsi="Calibri"/>
                <w:sz w:val="22"/>
              </w:rPr>
              <w:t>Plan established Feb 19, 2026; RSU tax withholding; non-discretionary</w:t>
            </w:r>
          </w:p>
        </w:tc>
      </w:tr>
      <w:tr>
        <w:tc>
          <w:tcPr>
            <w:tcW w:type="dxa" w:w="1440"/>
          </w:tcPr>
          <w:p>
            <w:r>
              <w:rPr>
                <w:rFonts w:ascii="Calibri" w:hAnsi="Calibri"/>
                <w:sz w:val="22"/>
              </w:rPr>
              <w:t>Broz, Steven</w:t>
            </w:r>
          </w:p>
        </w:tc>
        <w:tc>
          <w:tcPr>
            <w:tcW w:type="dxa" w:w="1440"/>
          </w:tcPr>
          <w:p>
            <w:r>
              <w:rPr>
                <w:rFonts w:ascii="Calibri" w:hAnsi="Calibri"/>
                <w:sz w:val="22"/>
              </w:rPr>
              <w:t>Chief Information Officer</w:t>
            </w:r>
          </w:p>
        </w:tc>
        <w:tc>
          <w:tcPr>
            <w:tcW w:type="dxa" w:w="1440"/>
          </w:tcPr>
          <w:p>
            <w:r>
              <w:rPr>
                <w:rFonts w:ascii="Calibri" w:hAnsi="Calibri"/>
                <w:sz w:val="22"/>
              </w:rPr>
              <w:t>10b5-1 Planned Sale</w:t>
            </w:r>
          </w:p>
        </w:tc>
        <w:tc>
          <w:tcPr>
            <w:tcW w:type="dxa" w:w="1440"/>
          </w:tcPr>
          <w:p>
            <w:r>
              <w:rPr>
                <w:rFonts w:ascii="Calibri" w:hAnsi="Calibri"/>
                <w:sz w:val="22"/>
              </w:rPr>
              <w:t>1,157</w:t>
            </w:r>
          </w:p>
        </w:tc>
        <w:tc>
          <w:tcPr>
            <w:tcW w:type="dxa" w:w="1440"/>
          </w:tcPr>
          <w:p>
            <w:r>
              <w:rPr>
                <w:rFonts w:ascii="Calibri" w:hAnsi="Calibri"/>
                <w:sz w:val="22"/>
              </w:rPr>
              <w:t>Jun 22, 2026</w:t>
            </w:r>
          </w:p>
        </w:tc>
        <w:tc>
          <w:tcPr>
            <w:tcW w:type="dxa" w:w="1440"/>
          </w:tcPr>
          <w:p>
            <w:r>
              <w:rPr>
                <w:rFonts w:ascii="Calibri" w:hAnsi="Calibri"/>
                <w:sz w:val="22"/>
              </w:rPr>
              <w:t>Recurring monthly plan execution</w:t>
            </w:r>
          </w:p>
        </w:tc>
      </w:tr>
      <w:tr>
        <w:tc>
          <w:tcPr>
            <w:tcW w:type="dxa" w:w="1440"/>
          </w:tcPr>
          <w:p>
            <w:r>
              <w:rPr>
                <w:rFonts w:ascii="Calibri" w:hAnsi="Calibri"/>
                <w:sz w:val="22"/>
              </w:rPr>
              <w:t>Broz, Steven</w:t>
            </w:r>
          </w:p>
        </w:tc>
        <w:tc>
          <w:tcPr>
            <w:tcW w:type="dxa" w:w="1440"/>
          </w:tcPr>
          <w:p>
            <w:r>
              <w:rPr>
                <w:rFonts w:ascii="Calibri" w:hAnsi="Calibri"/>
                <w:sz w:val="22"/>
              </w:rPr>
              <w:t>Chief Information Officer</w:t>
            </w:r>
          </w:p>
        </w:tc>
        <w:tc>
          <w:tcPr>
            <w:tcW w:type="dxa" w:w="1440"/>
          </w:tcPr>
          <w:p>
            <w:r>
              <w:rPr>
                <w:rFonts w:ascii="Calibri" w:hAnsi="Calibri"/>
                <w:sz w:val="22"/>
              </w:rPr>
              <w:t>10b5-1 Planned Sale</w:t>
            </w:r>
          </w:p>
        </w:tc>
        <w:tc>
          <w:tcPr>
            <w:tcW w:type="dxa" w:w="1440"/>
          </w:tcPr>
          <w:p>
            <w:r>
              <w:rPr>
                <w:rFonts w:ascii="Calibri" w:hAnsi="Calibri"/>
                <w:sz w:val="22"/>
              </w:rPr>
              <w:t>1,157</w:t>
            </w:r>
          </w:p>
        </w:tc>
        <w:tc>
          <w:tcPr>
            <w:tcW w:type="dxa" w:w="1440"/>
          </w:tcPr>
          <w:p>
            <w:r>
              <w:rPr>
                <w:rFonts w:ascii="Calibri" w:hAnsi="Calibri"/>
                <w:sz w:val="22"/>
              </w:rPr>
              <w:t>Jun 5, 2026</w:t>
            </w:r>
          </w:p>
        </w:tc>
        <w:tc>
          <w:tcPr>
            <w:tcW w:type="dxa" w:w="1440"/>
          </w:tcPr>
          <w:p>
            <w:r>
              <w:rPr>
                <w:rFonts w:ascii="Calibri" w:hAnsi="Calibri"/>
                <w:sz w:val="22"/>
              </w:rPr>
              <w:t>Recurring monthly plan execution</w:t>
            </w:r>
          </w:p>
        </w:tc>
      </w:tr>
      <w:tr>
        <w:tc>
          <w:tcPr>
            <w:tcW w:type="dxa" w:w="1440"/>
          </w:tcPr>
          <w:p>
            <w:r>
              <w:rPr>
                <w:rFonts w:ascii="Calibri" w:hAnsi="Calibri"/>
                <w:sz w:val="22"/>
              </w:rPr>
              <w:t>Murphy, John Jo</w:t>
            </w:r>
          </w:p>
        </w:tc>
        <w:tc>
          <w:tcPr>
            <w:tcW w:type="dxa" w:w="1440"/>
          </w:tcPr>
          <w:p>
            <w:r>
              <w:rPr>
                <w:rFonts w:ascii="Calibri" w:hAnsi="Calibri"/>
                <w:sz w:val="22"/>
              </w:rPr>
              <w:t>Claims President</w:t>
            </w:r>
          </w:p>
        </w:tc>
        <w:tc>
          <w:tcPr>
            <w:tcW w:type="dxa" w:w="1440"/>
          </w:tcPr>
          <w:p>
            <w:r>
              <w:rPr>
                <w:rFonts w:ascii="Calibri" w:hAnsi="Calibri"/>
                <w:sz w:val="22"/>
              </w:rPr>
              <w:t>10b5-1 Planned Sale</w:t>
            </w:r>
          </w:p>
        </w:tc>
        <w:tc>
          <w:tcPr>
            <w:tcW w:type="dxa" w:w="1440"/>
          </w:tcPr>
          <w:p>
            <w:r>
              <w:rPr>
                <w:rFonts w:ascii="Calibri" w:hAnsi="Calibri"/>
                <w:sz w:val="22"/>
              </w:rPr>
              <w:t>5,916</w:t>
            </w:r>
          </w:p>
        </w:tc>
        <w:tc>
          <w:tcPr>
            <w:tcW w:type="dxa" w:w="1440"/>
          </w:tcPr>
          <w:p>
            <w:r>
              <w:rPr>
                <w:rFonts w:ascii="Calibri" w:hAnsi="Calibri"/>
                <w:sz w:val="22"/>
              </w:rPr>
              <w:t>Jun 5, 2026</w:t>
            </w:r>
          </w:p>
        </w:tc>
        <w:tc>
          <w:tcPr>
            <w:tcW w:type="dxa" w:w="1440"/>
          </w:tcPr>
          <w:p>
            <w:r>
              <w:rPr>
                <w:rFonts w:ascii="Calibri" w:hAnsi="Calibri"/>
                <w:sz w:val="22"/>
              </w:rPr>
              <w:t>Recurring plan execution</w:t>
            </w:r>
          </w:p>
        </w:tc>
      </w:tr>
      <w:tr>
        <w:tc>
          <w:tcPr>
            <w:tcW w:type="dxa" w:w="1440"/>
          </w:tcPr>
          <w:p>
            <w:r>
              <w:rPr>
                <w:rFonts w:ascii="Calibri" w:hAnsi="Calibri"/>
                <w:b/>
                <w:sz w:val="22"/>
              </w:rPr>
              <w:t>Kelly, Jeffrey D.</w:t>
            </w:r>
          </w:p>
        </w:tc>
        <w:tc>
          <w:tcPr>
            <w:tcW w:type="dxa" w:w="1440"/>
          </w:tcPr>
          <w:p>
            <w:r>
              <w:rPr>
                <w:rFonts w:ascii="Calibri" w:hAnsi="Calibri"/>
                <w:sz w:val="22"/>
              </w:rPr>
              <w:t>Director</w:t>
            </w:r>
          </w:p>
        </w:tc>
        <w:tc>
          <w:tcPr>
            <w:tcW w:type="dxa" w:w="1440"/>
          </w:tcPr>
          <w:p>
            <w:r>
              <w:rPr>
                <w:rFonts w:ascii="Calibri" w:hAnsi="Calibri"/>
                <w:b/>
                <w:sz w:val="22"/>
              </w:rPr>
              <w:t>Open Market Sale</w:t>
            </w:r>
          </w:p>
        </w:tc>
        <w:tc>
          <w:tcPr>
            <w:tcW w:type="dxa" w:w="1440"/>
          </w:tcPr>
          <w:p>
            <w:r>
              <w:rPr>
                <w:rFonts w:ascii="Calibri" w:hAnsi="Calibri"/>
                <w:sz w:val="22"/>
              </w:rPr>
              <w:t>7,000</w:t>
            </w:r>
          </w:p>
        </w:tc>
        <w:tc>
          <w:tcPr>
            <w:tcW w:type="dxa" w:w="1440"/>
          </w:tcPr>
          <w:p>
            <w:r>
              <w:rPr>
                <w:rFonts w:ascii="Calibri" w:hAnsi="Calibri"/>
                <w:sz w:val="22"/>
              </w:rPr>
              <w:t>Jun 24, 2026</w:t>
            </w:r>
          </w:p>
        </w:tc>
        <w:tc>
          <w:tcPr>
            <w:tcW w:type="dxa" w:w="1440"/>
          </w:tcPr>
          <w:p>
            <w:r>
              <w:rPr>
                <w:rFonts w:ascii="Calibri" w:hAnsi="Calibri"/>
                <w:sz w:val="22"/>
              </w:rPr>
              <w:t>Discretionary sale (no 10b5-1 plan); only non-plan transaction in the period — worth monitoring</w:t>
            </w:r>
          </w:p>
        </w:tc>
      </w:tr>
    </w:tbl>
    <w:p>
      <w:r>
        <w:rPr>
          <w:rFonts w:ascii="Calibri" w:hAnsi="Calibri"/>
          <w:i/>
          <w:color w:val="525866"/>
          <w:sz w:val="22"/>
        </w:rPr>
        <w:t>No open-market buys were recorded in the period. The cluster of 10b5-1 sales on July 27-28 (immediately following the Q2 earnings release) is consistent with pre-planned post-earnings window execution and carries no negative signal. Director Kelly’s June 24 discretionary sale of 7,000 shares is the only transaction outside a 10b5-1 plan and is the sole item worth flagging, though the size is modest relative to his remaining holdings. Source: SEC Form 4 Filings Database.</w:t>
      </w:r>
    </w:p>
    <w:p>
      <w:r>
        <w:br w:type="page"/>
      </w:r>
    </w:p>
    <w:p>
      <w:pPr>
        <w:pStyle w:val="Heading2"/>
      </w:pPr>
      <w:r>
        <w:rPr>
          <w:rFonts w:ascii="Calibri" w:hAnsi="Calibri"/>
          <w:b/>
          <w:color w:val="3B4259"/>
          <w:sz w:val="28"/>
        </w:rPr>
        <w:t>9. Risks &amp; Considerations</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 xml:space="preserve">Q3 Catastrophe Season (High): </w:t>
      </w:r>
      <w:r>
        <w:rPr>
          <w:rFonts w:ascii="Calibri" w:hAnsi="Calibri"/>
          <w:color w:val="525866"/>
          <w:sz w:val="22"/>
        </w:rPr>
        <w:t>Q3 is peak hurricane and severe weather season. Consensus already embeds a ~91.9% combined ratio (vs. 87.3% in Q2), but a severe cat event could push the ratio materially above consensus. PGR’s property book is growing (Robinson strategy), increasing cat exposure. The Q3 2025 miss (89.5% actual vs. 86.4% consensus) was driven by elevated cats.</w:t>
      </w:r>
    </w:p>
    <w:p>
      <w:pPr>
        <w:pStyle w:val="ListBullet"/>
        <w:ind w:left="360" w:hanging="360"/>
      </w:pPr>
      <w:r>
        <w:rPr>
          <w:rFonts w:ascii="Calibri" w:hAnsi="Calibri"/>
          <w:b/>
          <w:color w:val="525866"/>
          <w:sz w:val="22"/>
        </w:rPr>
        <w:t xml:space="preserve">Severity Acceleration (High): </w:t>
      </w:r>
      <w:r>
        <w:rPr>
          <w:rFonts w:ascii="Calibri" w:hAnsi="Calibri"/>
          <w:color w:val="525866"/>
          <w:sz w:val="22"/>
        </w:rPr>
        <w:t>Chubb’s Greenberg confirmed industry-wide casualty loss cost inflation of 6-7% for primary lines. PGR management flagged tariffs, fuel prices, and geopolitical risks (Iran conflict) as potential severity drivers. Parts prices are already elevated; any acceleration would pressure the combined ratio.</w:t>
      </w:r>
    </w:p>
    <w:p>
      <w:pPr>
        <w:pStyle w:val="ListBullet"/>
        <w:ind w:left="360" w:hanging="360"/>
      </w:pPr>
      <w:r>
        <w:rPr>
          <w:rFonts w:ascii="Calibri" w:hAnsi="Calibri"/>
          <w:b/>
          <w:color w:val="525866"/>
          <w:sz w:val="22"/>
        </w:rPr>
        <w:t xml:space="preserve">NPW Growth Deceleration (Medium): </w:t>
      </w:r>
      <w:r>
        <w:rPr>
          <w:rFonts w:ascii="Calibri" w:hAnsi="Calibri"/>
          <w:color w:val="525866"/>
          <w:sz w:val="22"/>
        </w:rPr>
        <w:t>NPW growth has decelerated from +18% (Q2 2025) to +5% (Q2 2026). Consensus expects +3.9% in Q3. If competitive pricing pressure intensifies further or PGR takes additional rate decreases, growth could undershoot. The market has already punished the stock for this deceleration.</w:t>
      </w:r>
    </w:p>
    <w:p>
      <w:pPr>
        <w:pStyle w:val="ListBullet"/>
        <w:ind w:left="360" w:hanging="360"/>
      </w:pPr>
      <w:r>
        <w:rPr>
          <w:rFonts w:ascii="Calibri" w:hAnsi="Calibri"/>
          <w:b/>
          <w:color w:val="525866"/>
          <w:sz w:val="22"/>
        </w:rPr>
        <w:t xml:space="preserve">Robinson Deep-Dive Disappointment (Medium): </w:t>
      </w:r>
      <w:r>
        <w:rPr>
          <w:rFonts w:ascii="Calibri" w:hAnsi="Calibri"/>
          <w:color w:val="525866"/>
          <w:sz w:val="22"/>
        </w:rPr>
        <w:t>The August 4 investor presentation on Robinson/property is a high-stakes event. If management’s growth roadmap lacks specificity, timeline clarity, or credible execution milestones, the stock could sell off further from already-depressed levels.</w:t>
      </w:r>
    </w:p>
    <w:p>
      <w:pPr>
        <w:pStyle w:val="ListBullet"/>
        <w:ind w:left="360" w:hanging="360"/>
      </w:pPr>
      <w:r>
        <w:rPr>
          <w:rFonts w:ascii="Calibri" w:hAnsi="Calibri"/>
          <w:b/>
          <w:color w:val="525866"/>
          <w:sz w:val="22"/>
        </w:rPr>
        <w:t xml:space="preserve">Florida Regulatory Risk (Low-Medium): </w:t>
      </w:r>
      <w:r>
        <w:rPr>
          <w:rFonts w:ascii="Calibri" w:hAnsi="Calibri"/>
          <w:color w:val="525866"/>
          <w:sz w:val="22"/>
        </w:rPr>
        <w:t>PGR has proactively taken multiple rate decreases in Florida to comply with the excess profits statute. While management noted a lift in Florida trailing-3-month PLE in Q1 2026, the regulatory environment remains a constraint on profitability in the state.</w:t>
      </w:r>
    </w:p>
    <w:p>
      <w:pPr>
        <w:pStyle w:val="Heading3"/>
      </w:pPr>
      <w:r>
        <w:rPr>
          <w:rFonts w:ascii="Calibri" w:hAnsi="Calibri"/>
          <w:b/>
          <w:color w:val="3B4259"/>
          <w:sz w:val="24"/>
        </w:rPr>
        <w:t>Upside Risks</w:t>
      </w:r>
    </w:p>
    <w:p>
      <w:pPr>
        <w:pStyle w:val="ListBullet"/>
        <w:ind w:left="360" w:hanging="360"/>
      </w:pPr>
      <w:r>
        <w:rPr>
          <w:rFonts w:ascii="Calibri" w:hAnsi="Calibri"/>
          <w:b/>
          <w:color w:val="525866"/>
          <w:sz w:val="22"/>
        </w:rPr>
        <w:t xml:space="preserve">Combined Ratio Beat (High Probability Based on History): </w:t>
      </w:r>
      <w:r>
        <w:rPr>
          <w:rFonts w:ascii="Calibri" w:hAnsi="Calibri"/>
          <w:color w:val="525866"/>
          <w:sz w:val="22"/>
        </w:rPr>
        <w:t>PGR has beaten combined ratio consensus in 6 of the last 7 quarters. If frequency remains benign (flat as in Q1 2026) and severity trends don’t accelerate, the combined ratio could come in below the 91.9% consensus, potentially in the high-80s to low-90s range.</w:t>
      </w:r>
    </w:p>
    <w:p>
      <w:pPr>
        <w:pStyle w:val="ListBullet"/>
        <w:ind w:left="360" w:hanging="360"/>
      </w:pPr>
      <w:r>
        <w:rPr>
          <w:rFonts w:ascii="Calibri" w:hAnsi="Calibri"/>
          <w:b/>
          <w:color w:val="525866"/>
          <w:sz w:val="22"/>
        </w:rPr>
        <w:t xml:space="preserve">Robinson Deep-Dive Catalyst (Medium): </w:t>
      </w:r>
      <w:r>
        <w:rPr>
          <w:rFonts w:ascii="Calibri" w:hAnsi="Calibri"/>
          <w:color w:val="525866"/>
          <w:sz w:val="22"/>
        </w:rPr>
        <w:t>A compelling August 4 presentation articulating a clear path to capturing the $40-50B Robinson opportunity could re-rate the stock. Management has been building toward this moment with 29 agent roundtables in Q1 and 19 more planned in Q2.</w:t>
      </w:r>
    </w:p>
    <w:p>
      <w:pPr>
        <w:pStyle w:val="ListBullet"/>
        <w:ind w:left="360" w:hanging="360"/>
      </w:pPr>
      <w:r>
        <w:rPr>
          <w:rFonts w:ascii="Calibri" w:hAnsi="Calibri"/>
          <w:b/>
          <w:color w:val="525866"/>
          <w:sz w:val="22"/>
        </w:rPr>
        <w:t xml:space="preserve">Capital Return Upside (Medium): </w:t>
      </w:r>
      <w:r>
        <w:rPr>
          <w:rFonts w:ascii="Calibri" w:hAnsi="Calibri"/>
          <w:color w:val="525866"/>
          <w:sz w:val="22"/>
        </w:rPr>
        <w:t>With ~$13B in estimated excess capital and strong ongoing cash generation, PGR has significant flexibility to return capital via buybacks (stock is trading at ~12.6x NTM P/E, potentially below management’s intrinsic value estimate) or a repeat of the 2025 variable dividend.</w:t>
      </w:r>
    </w:p>
    <w:p>
      <w:pPr>
        <w:pStyle w:val="ListBullet"/>
        <w:ind w:left="360" w:hanging="360"/>
      </w:pPr>
      <w:r>
        <w:rPr>
          <w:rFonts w:ascii="Calibri" w:hAnsi="Calibri"/>
          <w:b/>
          <w:color w:val="525866"/>
          <w:sz w:val="22"/>
        </w:rPr>
        <w:t xml:space="preserve">Investment Income Tailwind (Low-Medium): </w:t>
      </w:r>
      <w:r>
        <w:rPr>
          <w:rFonts w:ascii="Calibri" w:hAnsi="Calibri"/>
          <w:color w:val="525866"/>
          <w:sz w:val="22"/>
        </w:rPr>
        <w:t>New money rates remain ~90 bps above the embedded portfolio yield (per TRV commentary). PGR’s growing float and 4.2% book yield provide a structural tailwind to investment income that could partially offset underwriting volatility.</w:t>
      </w:r>
    </w:p>
    <w:p>
      <w:pPr>
        <w:pStyle w:val="ListBullet"/>
        <w:ind w:left="360" w:hanging="360"/>
      </w:pPr>
      <w:r>
        <w:rPr>
          <w:rFonts w:ascii="Calibri" w:hAnsi="Calibri"/>
          <w:b/>
          <w:color w:val="525866"/>
          <w:sz w:val="22"/>
        </w:rPr>
        <w:t xml:space="preserve">Frequency Tailwind from Fuel Prices (Low): </w:t>
      </w:r>
      <w:r>
        <w:rPr>
          <w:rFonts w:ascii="Calibri" w:hAnsi="Calibri"/>
          <w:color w:val="525866"/>
          <w:sz w:val="22"/>
        </w:rPr>
        <w:t>Higher fuel prices historically reduce discretionary driving (lower-frequency miles), which could provide a modest frequency benefit in Q3. Management noted this dynamic on the Q1 call, though the net effect on loss costs is uncertain.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