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Parker Hannifin (PH) before writing the preview. Let me start by gathering recent filings, transcripts, and news.Let me read the most recent earnings materials (Q3 FY2026 call and release) to understand the current state and guidance.Now let me get recent news, the year-ago Q4 comparison, and stock price context.Let me pull the year-ago Q4 FY25 release for comparison points and the initial FY26 guidance.Let me quickly check for current analyst expectations and any Filtration Group closing news.I have what I need. Here's the earnings preview.</w:t>
      </w:r>
    </w:p>
    <w:p>
      <w:r>
        <w:pict>
          <v:rect style="width:0;height:1.5pt" o:hralign="center" o:hrstd="t" o:hr="t"/>
        </w:pict>
      </w:r>
    </w:p>
    <w:bookmarkStart w:id="19" w:name="Xcefb02c36e3569e2da109ea9997d58cb0a5b3bc"/>
    <w:p>
      <w:pPr>
        <w:pStyle w:val="Heading1"/>
      </w:pPr>
      <w:r>
        <w:t xml:space="preserve">Parker Hannifin (PH) — FQ4'26 Earnings Preview</w:t>
      </w:r>
    </w:p>
    <w:bookmarkStart w:id="9" w:name="Xbce22ca7af7e771afb3b0a1cb199efb0322a3db"/>
    <w:p>
      <w:pPr>
        <w:pStyle w:val="Heading3"/>
      </w:pPr>
      <w:r>
        <w:t xml:space="preserve">Report date: Wednesday, August 6, 2026 (before open) | Call 11:00 a.m. ET | Fiscal year ends June 30</w:t>
      </w:r>
    </w:p>
    <w:p>
      <w:r>
        <w:pict>
          <v:rect style="width:0;height:1.5pt" o:hralign="center" o:hrstd="t" o:hr="t"/>
        </w:pict>
      </w:r>
    </w:p>
    <w:bookmarkEnd w:id="9"/>
    <w:bookmarkStart w:id="10" w:name="Xae6f292db010770e3923e5f374da821abf65b5e"/>
    <w:p>
      <w:pPr>
        <w:pStyle w:val="Heading2"/>
      </w:pPr>
      <w:r>
        <w:t xml:space="preserve">1. The setup in one paragraph</w:t>
      </w:r>
    </w:p>
    <w:p>
      <w:pPr>
        <w:pStyle w:val="FirstParagraph"/>
      </w:pPr>
      <w:r>
        <w:t xml:space="preserve">Parker enters its fiscal Q4 (quarter ended June 30, 2026) and full-year print riding one of the strongest operating streaks in its history: record sales, record adjusted margins, an all-time-high</w:t>
      </w:r>
      <w:r>
        <w:t xml:space="preserve"> </w:t>
      </w:r>
      <m:oMath>
        <m:r>
          <m:t>12.5</m:t>
        </m:r>
        <m:r>
          <m:t>B</m:t>
        </m:r>
        <m:r>
          <m:t>b</m:t>
        </m:r>
        <m:r>
          <m:t>a</m:t>
        </m:r>
        <m:r>
          <m:t>c</m:t>
        </m:r>
        <m:r>
          <m:t>k</m:t>
        </m:r>
        <m:r>
          <m:t>l</m:t>
        </m:r>
        <m:r>
          <m:t>o</m:t>
        </m:r>
        <m:r>
          <m:t>g</m:t>
        </m:r>
        <m:r>
          <m:rPr>
            <m:sty m:val="p"/>
          </m:rPr>
          <m:t>,</m:t>
        </m:r>
        <m:r>
          <m:t>a</m:t>
        </m:r>
        <m:r>
          <m:t>n</m:t>
        </m:r>
        <m:r>
          <m:t>d</m:t>
        </m:r>
        <m:r>
          <m:t>a</m:t>
        </m:r>
        <m:r>
          <m:t>s</m:t>
        </m:r>
        <m:r>
          <m:t>t</m:t>
        </m:r>
        <m:r>
          <m:t>o</m:t>
        </m:r>
        <m:r>
          <m:t>c</m:t>
        </m:r>
        <m:r>
          <m:t>k</m:t>
        </m:r>
        <m:r>
          <m:t>s</m:t>
        </m:r>
        <m:r>
          <m:t>i</m:t>
        </m:r>
        <m:r>
          <m:t>t</m:t>
        </m:r>
        <m:r>
          <m:t>t</m:t>
        </m:r>
        <m:r>
          <m:t>i</m:t>
        </m:r>
        <m:r>
          <m:t>n</m:t>
        </m:r>
        <m:r>
          <m:t>g</m:t>
        </m:r>
        <m:r>
          <m:t>n</m:t>
        </m:r>
        <m:r>
          <m:t>e</m:t>
        </m:r>
        <m:r>
          <m:t>a</m:t>
        </m:r>
        <m:r>
          <m:t>r</m:t>
        </m:r>
        <m:r>
          <m:t>a</m:t>
        </m:r>
        <m:r>
          <m:t>l</m:t>
        </m:r>
        <m:r>
          <m:t>l</m:t>
        </m:r>
        <m:r>
          <m:rPr>
            <m:sty m:val="p"/>
          </m:rPr>
          <m:t>−</m:t>
        </m:r>
        <m:r>
          <m:t>t</m:t>
        </m:r>
        <m:r>
          <m:t>i</m:t>
        </m:r>
        <m:r>
          <m:t>m</m:t>
        </m:r>
        <m:r>
          <m:t>e</m:t>
        </m:r>
        <m:r>
          <m:t>h</m:t>
        </m:r>
        <m:r>
          <m:t>i</m:t>
        </m:r>
        <m:r>
          <m:t>g</m:t>
        </m:r>
        <m:r>
          <m:t>h</m:t>
        </m:r>
        <m:r>
          <m:t>s</m:t>
        </m:r>
        <m:r>
          <m:rPr>
            <m:sty m:val="p"/>
          </m:rPr>
          <m:t>(</m:t>
        </m:r>
        <m:r>
          <m:t> </m:t>
        </m:r>
      </m:oMath>
      <w:r>
        <w:t xml:space="preserve">997 on Aug 5, up ~40% from ~</w:t>
      </w:r>
      <w:r>
        <w:t xml:space="preserve">$712 a year ago). Management has effectively pre-committed the numbers — after raising guidance at Q3, this is a "confirm-and-set-up-FY27" quarter. The read-through that matters most is not the Q4 beat (likely modest and expected) but **(a) the initial FY27 outlook, (b) the tone on the industrial short-cycle recovery, and (c) any update on the ~$</w:t>
      </w:r>
      <w:r>
        <w:t xml:space="preserve">9.25B Filtration Group acquisition.**</w:t>
      </w:r>
    </w:p>
    <w:p>
      <w:r>
        <w:pict>
          <v:rect style="width:0;height:1.5pt" o:hralign="center" o:hrstd="t" o:hr="t"/>
        </w:pict>
      </w:r>
    </w:p>
    <w:bookmarkEnd w:id="10"/>
    <w:bookmarkStart w:id="11" w:name="X9f8a82d4530eb2633bbe60bd1b51951bebcb3ec"/>
    <w:p>
      <w:pPr>
        <w:pStyle w:val="Heading2"/>
      </w:pPr>
      <w:r>
        <w:t xml:space="preserve">2. The bar to clear (management's own Q4 guide)</w:t>
      </w:r>
    </w:p>
    <w:p>
      <w:pPr>
        <w:pStyle w:val="FirstParagraph"/>
      </w:pPr>
      <w:r>
        <w:t xml:space="preserve">At the Q3 call (Apr 30), Parker guided Q4 explicitly:</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Q4'26 Guide</w:t>
            </w:r>
          </w:p>
        </w:tc>
        <w:tc>
          <w:tcPr/>
          <w:p>
            <w:pPr>
              <w:pStyle w:val="Compact"/>
            </w:pPr>
            <w:r>
              <w:t xml:space="preserve">Q4'25 Actual</w:t>
            </w:r>
          </w:p>
        </w:tc>
        <w:tc>
          <w:tcPr/>
          <w:p>
            <w:pPr>
              <w:pStyle w:val="Compact"/>
            </w:pPr>
            <w:r>
              <w:t xml:space="preserve">Implied Y/Y</w:t>
            </w:r>
          </w:p>
        </w:tc>
      </w:tr>
      <w:tr>
        <w:tc>
          <w:tcPr/>
          <w:p>
            <w:pPr>
              <w:pStyle w:val="Compact"/>
            </w:pPr>
            <w:r>
              <w:t xml:space="preserve">Reported sales</w:t>
            </w:r>
          </w:p>
        </w:tc>
        <w:tc>
          <w:tcPr/>
          <w:p>
            <w:pPr>
              <w:pStyle w:val="Compact"/>
            </w:pPr>
            <w:r>
              <w:t xml:space="preserve">~$5.5B (+5.5%)</w:t>
            </w:r>
          </w:p>
        </w:tc>
        <w:tc>
          <w:tcPr/>
          <w:p>
            <w:pPr>
              <w:pStyle w:val="Compact"/>
            </w:pPr>
            <w:r>
              <w:t xml:space="preserve">$5.243B</w:t>
            </w:r>
          </w:p>
        </w:tc>
        <w:tc>
          <w:tcPr/>
          <w:p>
            <w:pPr>
              <w:pStyle w:val="Compact"/>
            </w:pPr>
            <w:r>
              <w:t xml:space="preserve">+5.5%</w:t>
            </w:r>
          </w:p>
        </w:tc>
      </w:tr>
      <w:tr>
        <w:tc>
          <w:tcPr/>
          <w:p>
            <w:pPr>
              <w:pStyle w:val="Compact"/>
            </w:pPr>
            <w:r>
              <w:t xml:space="preserve">Organic growth</w:t>
            </w:r>
          </w:p>
        </w:tc>
        <w:tc>
          <w:tcPr/>
          <w:p>
            <w:pPr>
              <w:pStyle w:val="Compact"/>
            </w:pPr>
            <w:r>
              <w:t xml:space="preserve">~4%</w:t>
            </w:r>
          </w:p>
        </w:tc>
        <w:tc>
          <w:tcPr/>
          <w:p>
            <w:pPr>
              <w:pStyle w:val="Compact"/>
            </w:pPr>
            <w:r>
              <w:t xml:space="preserve">+2.1%</w:t>
            </w:r>
          </w:p>
        </w:tc>
        <w:tc>
          <w:tcPr/>
          <w:p>
            <w:pPr>
              <w:pStyle w:val="Compact"/>
            </w:pPr>
            <w:r>
              <w:t xml:space="preserve">accelerating</w:t>
            </w:r>
          </w:p>
        </w:tc>
      </w:tr>
      <w:tr>
        <w:tc>
          <w:tcPr/>
          <w:p>
            <w:pPr>
              <w:pStyle w:val="Compact"/>
            </w:pPr>
            <w:r>
              <w:t xml:space="preserve">Adj. segment op. margin</w:t>
            </w:r>
          </w:p>
        </w:tc>
        <w:tc>
          <w:tcPr/>
          <w:p>
            <w:pPr>
              <w:pStyle w:val="Compact"/>
            </w:pPr>
            <w:r>
              <w:t xml:space="preserve">~27.4%</w:t>
            </w:r>
          </w:p>
        </w:tc>
        <w:tc>
          <w:tcPr/>
          <w:p>
            <w:pPr>
              <w:pStyle w:val="Compact"/>
            </w:pPr>
            <w:r>
              <w:t xml:space="preserve">26.9%</w:t>
            </w:r>
          </w:p>
        </w:tc>
        <w:tc>
          <w:tcPr/>
          <w:p>
            <w:pPr>
              <w:pStyle w:val="Compact"/>
            </w:pPr>
            <w:r>
              <w:t xml:space="preserve">+~50 bps</w:t>
            </w:r>
          </w:p>
        </w:tc>
      </w:tr>
      <w:tr>
        <w:tc>
          <w:tcPr/>
          <w:p>
            <w:pPr>
              <w:pStyle w:val="Compact"/>
            </w:pPr>
            <w:r>
              <w:t xml:space="preserve">Effective tax rate</w:t>
            </w:r>
          </w:p>
        </w:tc>
        <w:tc>
          <w:tcPr/>
          <w:p>
            <w:pPr>
              <w:pStyle w:val="Compact"/>
            </w:pPr>
            <w:r>
              <w:t xml:space="preserve">~22%</w:t>
            </w:r>
          </w:p>
        </w:tc>
        <w:tc>
          <w:tcPr/>
          <w:p>
            <w:pPr>
              <w:pStyle w:val="Compact"/>
            </w:pPr>
            <w:r>
              <w:t xml:space="preserve">—</w:t>
            </w:r>
          </w:p>
        </w:tc>
        <w:tc>
          <w:tcPr/>
          <w:p>
            <w:pPr>
              <w:pStyle w:val="Compact"/>
            </w:pPr>
            <w:r>
              <w:t xml:space="preserve">—</w:t>
            </w:r>
          </w:p>
        </w:tc>
      </w:tr>
      <w:tr>
        <w:tc>
          <w:tcPr/>
          <w:p>
            <w:pPr>
              <w:pStyle w:val="Compact"/>
            </w:pPr>
            <w:r>
              <w:rPr>
                <w:b/>
                <w:bCs/>
              </w:rPr>
              <w:t xml:space="preserve">Adjusted EPS</w:t>
            </w:r>
          </w:p>
        </w:tc>
        <w:tc>
          <w:tcPr/>
          <w:p>
            <w:pPr>
              <w:pStyle w:val="Compact"/>
            </w:pPr>
            <w:r>
              <w:rPr>
                <w:b/>
                <w:bCs/>
              </w:rPr>
              <w:t xml:space="preserve">~$8.16</w:t>
            </w:r>
          </w:p>
        </w:tc>
        <w:tc>
          <w:tcPr/>
          <w:p>
            <w:pPr>
              <w:pStyle w:val="Compact"/>
            </w:pPr>
            <w:r>
              <w:rPr>
                <w:b/>
                <w:bCs/>
              </w:rPr>
              <w:t xml:space="preserve">$7.69</w:t>
            </w:r>
          </w:p>
        </w:tc>
        <w:tc>
          <w:tcPr/>
          <w:p>
            <w:pPr>
              <w:pStyle w:val="Compact"/>
            </w:pPr>
            <w:r>
              <w:rPr>
                <w:b/>
                <w:bCs/>
              </w:rPr>
              <w:t xml:space="preserve">~+6%</w:t>
            </w:r>
          </w:p>
        </w:tc>
      </w:tr>
    </w:tbl>
    <w:p>
      <w:pPr>
        <w:pStyle w:val="BodyText"/>
      </w:pPr>
      <w:r>
        <w:t xml:space="preserve">Full-year FY26 implied guide (to be formally confirmed):</w:t>
      </w:r>
    </w:p>
    <w:p>
      <w:pPr>
        <w:pStyle w:val="Compact"/>
        <w:numPr>
          <w:ilvl w:val="0"/>
          <w:numId w:val="1001"/>
        </w:numPr>
      </w:pPr>
      <w:r>
        <w:rPr>
          <w:b/>
          <w:bCs/>
        </w:rPr>
        <w:t xml:space="preserve">Reported sales +7%</w:t>
      </w:r>
      <w:r>
        <w:t xml:space="preserve"> </w:t>
      </w:r>
      <w:r>
        <w:t xml:space="preserve">(organic +5.5%, acq. +1%, FX +1.5%, divest. –1%)</w:t>
      </w:r>
    </w:p>
    <w:p>
      <w:pPr>
        <w:pStyle w:val="Compact"/>
        <w:numPr>
          <w:ilvl w:val="0"/>
          <w:numId w:val="1001"/>
        </w:numPr>
      </w:pPr>
      <w:r>
        <w:rPr>
          <w:b/>
          <w:bCs/>
        </w:rPr>
        <w:t xml:space="preserve">Adjusted segment margin ~27.2%</w:t>
      </w:r>
      <w:r>
        <w:t xml:space="preserve"> </w:t>
      </w:r>
      <w:r>
        <w:t xml:space="preserve">(+110 bps y/y; ~40% incrementals)</w:t>
      </w:r>
    </w:p>
    <w:p>
      <w:pPr>
        <w:pStyle w:val="Compact"/>
        <w:numPr>
          <w:ilvl w:val="0"/>
          <w:numId w:val="1001"/>
        </w:numPr>
      </w:pPr>
      <w:r>
        <w:rPr>
          <w:b/>
          <w:bCs/>
        </w:rPr>
        <w:t xml:space="preserve">Adjusted EPS ~$31.20</w:t>
      </w:r>
      <w:r>
        <w:t xml:space="preserve"> </w:t>
      </w:r>
      <w:r>
        <w:t xml:space="preserve">(+14.2% y/y) — the raised midpoint, up from the</w:t>
      </w:r>
      <w:r>
        <w:t xml:space="preserve"> </w:t>
      </w:r>
      <m:oMath>
        <m:r>
          <m:t>28.40</m:t>
        </m:r>
        <m:r>
          <m:rPr>
            <m:sty m:val="p"/>
          </m:rPr>
          <m:t>–</m:t>
        </m:r>
      </m:oMath>
      <w:r>
        <w:t xml:space="preserve">29.40 initially set last August</w:t>
      </w:r>
    </w:p>
    <w:p>
      <w:pPr>
        <w:pStyle w:val="Compact"/>
        <w:numPr>
          <w:ilvl w:val="0"/>
          <w:numId w:val="1001"/>
        </w:numPr>
      </w:pPr>
      <w:r>
        <w:t xml:space="preserve">**Free cash flow</w:t>
      </w:r>
      <w:r>
        <w:t xml:space="preserve"> </w:t>
      </w:r>
      <m:oMath>
        <m:r>
          <m:t>3.3</m:t>
        </m:r>
        <m:r>
          <m:rPr>
            <m:sty m:val="p"/>
          </m:rPr>
          <m:t>–</m:t>
        </m:r>
        <m:r>
          <m:t>3.6</m:t>
        </m:r>
        <m:r>
          <m:t>B</m:t>
        </m:r>
        <m:r>
          <m:rPr>
            <m:sty m:val="p"/>
          </m:rPr>
          <m:t>*</m:t>
        </m:r>
        <m:r>
          <m:rPr>
            <m:sty m:val="p"/>
          </m:rPr>
          <m:t>*</m:t>
        </m:r>
        <m:r>
          <m:rPr>
            <m:sty m:val="p"/>
          </m:rPr>
          <m:t>(</m:t>
        </m:r>
        <m:r>
          <m:t> </m:t>
        </m:r>
      </m:oMath>
      <w:r>
        <w:t xml:space="preserve">3.45B, ~100% conversion)</w:t>
      </w:r>
    </w:p>
    <w:p>
      <w:pPr>
        <w:pStyle w:val="FirstParagraph"/>
      </w:pPr>
      <w:r>
        <w:rPr>
          <w:b/>
          <w:bCs/>
        </w:rPr>
        <w:t xml:space="preserve">Key point:</w:t>
      </w:r>
      <w:r>
        <w:t xml:space="preserve"> </w:t>
      </w:r>
      <w:r>
        <w:t xml:space="preserve">the "beat" hurdle is small — Parker has already twice raised the year. What moves the stock is guidance quality for FY27 and whether the ~4% Q4 organic (its best of the year) and the industrial order acceleration hold.</w:t>
      </w:r>
    </w:p>
    <w:p>
      <w:r>
        <w:pict>
          <v:rect style="width:0;height:1.5pt" o:hralign="center" o:hrstd="t" o:hr="t"/>
        </w:pict>
      </w:r>
    </w:p>
    <w:bookmarkEnd w:id="11"/>
    <w:bookmarkStart w:id="12" w:name="Xbfbf8a326c2858949e6c7aa283ac9cee6b51c9b"/>
    <w:p>
      <w:pPr>
        <w:pStyle w:val="Heading2"/>
      </w:pPr>
      <w:r>
        <w:t xml:space="preserve">3. Segment trends going in</w:t>
      </w:r>
    </w:p>
    <w:p>
      <w:pPr>
        <w:pStyle w:val="FirstParagraph"/>
      </w:pPr>
      <w:r>
        <w:rPr>
          <w:b/>
          <w:bCs/>
        </w:rPr>
        <w:t xml:space="preserve">Aerospace Systems (35% of sales, the growth engine).</w:t>
      </w:r>
      <w:r>
        <w:t xml:space="preserve"> </w:t>
      </w:r>
      <w:r>
        <w:t xml:space="preserve">Q3 was exceptional: +14.2% organic, adj. margin 29.5% (+80 bps), orders +14%, backlog a record $8.4B (+15%). Commercial OEM +22%, commercial aftermarket +14%, defense OEM +13%, defense aftermarket +8%. Management raised FY26 aero to</w:t>
      </w:r>
      <w:r>
        <w:t xml:space="preserve"> </w:t>
      </w:r>
      <w:r>
        <w:rPr>
          <w:b/>
          <w:bCs/>
        </w:rPr>
        <w:t xml:space="preserve">+12% organic</w:t>
      </w:r>
      <w:r>
        <w:t xml:space="preserve"> </w:t>
      </w:r>
      <w:r>
        <w:t xml:space="preserve">and guided Q4 to ~+9% (against the year's easiest comp — Q4'25 aero was +8.6% organic). This will mark a</w:t>
      </w:r>
      <w:r>
        <w:t xml:space="preserve"> </w:t>
      </w:r>
      <w:r>
        <w:rPr>
          <w:b/>
          <w:bCs/>
        </w:rPr>
        <w:t xml:space="preserve">fourth consecutive year of double-digit aero organic growth</w:t>
      </w:r>
      <w:r>
        <w:t xml:space="preserve">. Watch for: any OE-vs-aftermarket mix shift, and whether the aftermarket normalization (as air traffic growth cools) is showing up in orders.</w:t>
      </w:r>
    </w:p>
    <w:p>
      <w:pPr>
        <w:pStyle w:val="BodyText"/>
      </w:pPr>
      <w:r>
        <w:rPr>
          <w:b/>
          <w:bCs/>
        </w:rPr>
        <w:t xml:space="preserve">Diversified Industrial – North America (~$2.1B/qtr).</w:t>
      </w:r>
      <w:r>
        <w:t xml:space="preserve"> </w:t>
      </w:r>
      <w:r>
        <w:t xml:space="preserve">Q3 organic +2.8% (in-plant/industrial, off-highway, energy led), record adj. margin 25.3%, orders a robust +7% for a second straight quarter — though partly boosted by long-cycle multiyear defense/energy/construction orders extending into FY27. FY26 organic raised to +2.5%.</w:t>
      </w:r>
    </w:p>
    <w:p>
      <w:pPr>
        <w:pStyle w:val="BodyText"/>
      </w:pPr>
      <w:r>
        <w:rPr>
          <w:b/>
          <w:bCs/>
        </w:rPr>
        <w:t xml:space="preserve">Diversified Industrial – International (~$1.5B/qtr).</w:t>
      </w:r>
      <w:r>
        <w:t xml:space="preserve"> </w:t>
      </w:r>
      <w:r>
        <w:t xml:space="preserve">Q3 organic +3.3%, record adj. margin 25.3%, orders +6% (on tough +11% comp).</w:t>
      </w:r>
      <w:r>
        <w:t xml:space="preserve"> </w:t>
      </w:r>
      <w:r>
        <w:rPr>
          <w:b/>
          <w:bCs/>
        </w:rPr>
        <w:t xml:space="preserve">Asia Pacific is the standout</w:t>
      </w:r>
      <w:r>
        <w:t xml:space="preserve"> </w:t>
      </w:r>
      <w:r>
        <w:t xml:space="preserve">(+9.6% organic, electronics/semi/data-center demand), EMEA roughly flat, Latin America negative. FY26 international organic raised to +2.5% (Asia to high-single-digit).</w:t>
      </w:r>
    </w:p>
    <w:p>
      <w:pPr>
        <w:pStyle w:val="BodyText"/>
      </w:pPr>
      <w:r>
        <w:rPr>
          <w:b/>
          <w:bCs/>
        </w:rPr>
        <w:t xml:space="preserve">The recurring debate — orders outpacing sales.</w:t>
      </w:r>
      <w:r>
        <w:t xml:space="preserve"> </w:t>
      </w:r>
      <w:r>
        <w:t xml:space="preserve">Industrial orders have been positive for 6 straight quarters and backlog (~$4.1B industrial) keeps building, yet revenue conversion lags because more of the book is now longer-cycle. Investors will press again on when this recouples into faster industrial revenue — a core FY27 swing factor.</w:t>
      </w:r>
    </w:p>
    <w:p>
      <w:r>
        <w:pict>
          <v:rect style="width:0;height:1.5pt" o:hralign="center" o:hrstd="t" o:hr="t"/>
        </w:pict>
      </w:r>
    </w:p>
    <w:bookmarkEnd w:id="12"/>
    <w:bookmarkStart w:id="13" w:name="X43eb9a4b0ccb97505f2d75da512f9fa684f2412"/>
    <w:p>
      <w:pPr>
        <w:pStyle w:val="Heading2"/>
      </w:pPr>
      <w:r>
        <w:t xml:space="preserve">4. Market-vertical guide (updated at Q3) — watch for the FY27 reframe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Vertical</w:t>
            </w:r>
          </w:p>
        </w:tc>
        <w:tc>
          <w:tcPr/>
          <w:p>
            <w:pPr>
              <w:pStyle w:val="Compact"/>
            </w:pPr>
            <w:r>
              <w:t xml:space="preserve">~% of sales</w:t>
            </w:r>
          </w:p>
        </w:tc>
        <w:tc>
          <w:tcPr/>
          <w:p>
            <w:pPr>
              <w:pStyle w:val="Compact"/>
            </w:pPr>
            <w:r>
              <w:t xml:space="preserve">FY26 organic view</w:t>
            </w:r>
          </w:p>
        </w:tc>
      </w:tr>
      <w:tr>
        <w:tc>
          <w:tcPr/>
          <w:p>
            <w:pPr>
              <w:pStyle w:val="Compact"/>
            </w:pPr>
            <w:r>
              <w:t xml:space="preserve">Aerospace &amp; Defense</w:t>
            </w:r>
          </w:p>
        </w:tc>
        <w:tc>
          <w:tcPr/>
          <w:p>
            <w:pPr>
              <w:pStyle w:val="Compact"/>
            </w:pPr>
            <w:r>
              <w:t xml:space="preserve">35%</w:t>
            </w:r>
          </w:p>
        </w:tc>
        <w:tc>
          <w:tcPr/>
          <w:p>
            <w:pPr>
              <w:pStyle w:val="Compact"/>
            </w:pPr>
            <w:r>
              <w:rPr>
                <w:b/>
                <w:bCs/>
              </w:rPr>
              <w:t xml:space="preserve">+12%</w:t>
            </w:r>
            <w:r>
              <w:t xml:space="preserve"> </w:t>
            </w:r>
            <w:r>
              <w:t xml:space="preserve">(raised)</w:t>
            </w:r>
          </w:p>
        </w:tc>
      </w:tr>
      <w:tr>
        <w:tc>
          <w:tcPr/>
          <w:p>
            <w:pPr>
              <w:pStyle w:val="Compact"/>
            </w:pPr>
            <w:r>
              <w:t xml:space="preserve">In-Plant &amp; Industrial</w:t>
            </w:r>
          </w:p>
        </w:tc>
        <w:tc>
          <w:tcPr/>
          <w:p>
            <w:pPr>
              <w:pStyle w:val="Compact"/>
            </w:pPr>
            <w:r>
              <w:t xml:space="preserve">—</w:t>
            </w:r>
          </w:p>
        </w:tc>
        <w:tc>
          <w:tcPr/>
          <w:p>
            <w:pPr>
              <w:pStyle w:val="Compact"/>
            </w:pPr>
            <w:r>
              <w:t xml:space="preserve">+ low-single-digit</w:t>
            </w:r>
          </w:p>
        </w:tc>
      </w:tr>
      <w:tr>
        <w:tc>
          <w:tcPr/>
          <w:p>
            <w:pPr>
              <w:pStyle w:val="Compact"/>
            </w:pPr>
            <w:r>
              <w:t xml:space="preserve">Transportation</w:t>
            </w:r>
          </w:p>
        </w:tc>
        <w:tc>
          <w:tcPr/>
          <w:p>
            <w:pPr>
              <w:pStyle w:val="Compact"/>
            </w:pPr>
            <w:r>
              <w:t xml:space="preserve">15%</w:t>
            </w:r>
          </w:p>
        </w:tc>
        <w:tc>
          <w:tcPr/>
          <w:p>
            <w:pPr>
              <w:pStyle w:val="Compact"/>
            </w:pPr>
            <w:r>
              <w:rPr>
                <w:b/>
                <w:bCs/>
              </w:rPr>
              <w:t xml:space="preserve">– low-single-digit</w:t>
            </w:r>
            <w:r>
              <w:t xml:space="preserve"> </w:t>
            </w:r>
            <w:r>
              <w:t xml:space="preserve">(raised from mid-single decline on stronger heavy-truck)</w:t>
            </w:r>
          </w:p>
        </w:tc>
      </w:tr>
      <w:tr>
        <w:tc>
          <w:tcPr/>
          <w:p>
            <w:pPr>
              <w:pStyle w:val="Compact"/>
            </w:pPr>
            <w:r>
              <w:t xml:space="preserve">Off-Highway</w:t>
            </w:r>
          </w:p>
        </w:tc>
        <w:tc>
          <w:tcPr/>
          <w:p>
            <w:pPr>
              <w:pStyle w:val="Compact"/>
            </w:pPr>
            <w:r>
              <w:t xml:space="preserve">—</w:t>
            </w:r>
          </w:p>
        </w:tc>
        <w:tc>
          <w:tcPr/>
          <w:p>
            <w:pPr>
              <w:pStyle w:val="Compact"/>
            </w:pPr>
            <w:r>
              <w:t xml:space="preserve">+ low-single-digit (construction up, ag soft)</w:t>
            </w:r>
          </w:p>
        </w:tc>
      </w:tr>
      <w:tr>
        <w:tc>
          <w:tcPr/>
          <w:p>
            <w:pPr>
              <w:pStyle w:val="Compact"/>
            </w:pPr>
            <w:r>
              <w:t xml:space="preserve">Energy</w:t>
            </w:r>
          </w:p>
        </w:tc>
        <w:tc>
          <w:tcPr/>
          <w:p>
            <w:pPr>
              <w:pStyle w:val="Compact"/>
            </w:pPr>
            <w:r>
              <w:t xml:space="preserve">—</w:t>
            </w:r>
          </w:p>
        </w:tc>
        <w:tc>
          <w:tcPr/>
          <w:p>
            <w:pPr>
              <w:pStyle w:val="Compact"/>
            </w:pPr>
            <w:r>
              <w:t xml:space="preserve">+ low-single-digit (power gen strong, upstream soft)</w:t>
            </w:r>
          </w:p>
        </w:tc>
      </w:tr>
      <w:tr>
        <w:tc>
          <w:tcPr/>
          <w:p>
            <w:pPr>
              <w:pStyle w:val="Compact"/>
            </w:pPr>
            <w:r>
              <w:t xml:space="preserve">HVAC &amp; Refrigeration</w:t>
            </w:r>
          </w:p>
        </w:tc>
        <w:tc>
          <w:tcPr/>
          <w:p>
            <w:pPr>
              <w:pStyle w:val="Compact"/>
            </w:pPr>
            <w:r>
              <w:t xml:space="preserve">—</w:t>
            </w:r>
          </w:p>
        </w:tc>
        <w:tc>
          <w:tcPr/>
          <w:p>
            <w:pPr>
              <w:pStyle w:val="Compact"/>
            </w:pPr>
            <w:r>
              <w:t xml:space="preserve">+ mid-single-digit</w:t>
            </w:r>
          </w:p>
        </w:tc>
      </w:tr>
    </w:tbl>
    <w:p>
      <w:pPr>
        <w:pStyle w:val="BodyText"/>
      </w:pPr>
      <w:r>
        <w:t xml:space="preserve">Themes to listen for: continued</w:t>
      </w:r>
      <w:r>
        <w:t xml:space="preserve"> </w:t>
      </w:r>
      <w:r>
        <w:rPr>
          <w:b/>
          <w:bCs/>
        </w:rPr>
        <w:t xml:space="preserve">power-gen / data-center pull</w:t>
      </w:r>
      <w:r>
        <w:t xml:space="preserve"> </w:t>
      </w:r>
      <w:r>
        <w:t xml:space="preserve">(data center still ~1% of sales but "growing like a weed" with secondary benefits in power gen, automation, construction), heavy-truck inflection, and ag/upstream energy remaining the laggards.</w:t>
      </w:r>
    </w:p>
    <w:p>
      <w:r>
        <w:pict>
          <v:rect style="width:0;height:1.5pt" o:hralign="center" o:hrstd="t" o:hr="t"/>
        </w:pict>
      </w:r>
    </w:p>
    <w:bookmarkEnd w:id="13"/>
    <w:bookmarkStart w:id="14" w:name="X7288f454d89b4a83523cee661f4c82bf53b390e"/>
    <w:p>
      <w:pPr>
        <w:pStyle w:val="Heading2"/>
      </w:pPr>
      <w:r>
        <w:t xml:space="preserve">5. Filtration Group — the biggest wildcard</w:t>
      </w:r>
    </w:p>
    <w:p>
      <w:pPr>
        <w:pStyle w:val="FirstParagraph"/>
      </w:pPr>
      <w:r>
        <w:t xml:space="preserve">Parker announced the</w:t>
      </w:r>
      <w:r>
        <w:t xml:space="preserve"> </w:t>
      </w:r>
      <w:r>
        <w:rPr>
          <w:b/>
          <w:bCs/>
        </w:rPr>
        <w:t xml:space="preserve">~$9.25B acquisition of Filtration Group</w:t>
      </w:r>
      <w:r>
        <w:t xml:space="preserve"> </w:t>
      </w:r>
      <w:r>
        <w:t xml:space="preserve">(from Madison Industries) in November 2025 — a high-margin, ~85%-aftermarket recurring-revenue business. Management's framing:</w:t>
      </w:r>
    </w:p>
    <w:p>
      <w:pPr>
        <w:pStyle w:val="Compact"/>
        <w:numPr>
          <w:ilvl w:val="0"/>
          <w:numId w:val="1002"/>
        </w:numPr>
      </w:pPr>
      <w:r>
        <w:t xml:space="preserve">Expected to</w:t>
      </w:r>
      <w:r>
        <w:t xml:space="preserve"> </w:t>
      </w:r>
      <w:r>
        <w:rPr>
          <w:b/>
          <w:bCs/>
        </w:rPr>
        <w:t xml:space="preserve">close within 12 months of announcement</w:t>
      </w:r>
      <w:r>
        <w:t xml:space="preserve"> </w:t>
      </w:r>
      <w:r>
        <w:t xml:space="preserve">(i.e., by ~November 2026), pending regulatory clearances; integration planning already underway.</w:t>
      </w:r>
    </w:p>
    <w:p>
      <w:pPr>
        <w:pStyle w:val="Compact"/>
        <w:numPr>
          <w:ilvl w:val="0"/>
          <w:numId w:val="1002"/>
        </w:numPr>
      </w:pPr>
      <w:r>
        <w:rPr>
          <w:b/>
          <w:bCs/>
        </w:rPr>
        <w:t xml:space="preserve">$220M of synergies (~11%) targeted by year 3</w:t>
      </w:r>
      <w:r>
        <w:t xml:space="preserve">, mostly from Win Strategy levers (lean, supply chain, simplification).</w:t>
      </w:r>
    </w:p>
    <w:p>
      <w:pPr>
        <w:pStyle w:val="Compact"/>
        <w:numPr>
          <w:ilvl w:val="0"/>
          <w:numId w:val="1002"/>
        </w:numPr>
      </w:pPr>
      <w:r>
        <w:t xml:space="preserve">Financing set;</w:t>
      </w:r>
      <w:r>
        <w:t xml:space="preserve"> </w:t>
      </w:r>
      <w:r>
        <w:rPr>
          <w:b/>
          <w:bCs/>
        </w:rPr>
        <w:t xml:space="preserve">no pre-funding, no interest drag before close</w:t>
      </w:r>
      <w:r>
        <w:t xml:space="preserve">; leverage to peak near — but not above — 3x, with a faster-than-ever deleveraging plan back toward ~2x.</w:t>
      </w:r>
    </w:p>
    <w:p>
      <w:pPr>
        <w:pStyle w:val="FirstParagraph"/>
      </w:pPr>
      <w:r>
        <w:rPr>
          <w:b/>
          <w:bCs/>
        </w:rPr>
        <w:t xml:space="preserve">What to watch Aug 6:</w:t>
      </w:r>
      <w:r>
        <w:t xml:space="preserve"> </w:t>
      </w:r>
      <w:r>
        <w:t xml:space="preserve">any change to the close timeline, regulatory progress, updated synergy phasing, and whether it will be folded into the initial FY27 guide. Given the deal likely won't close until well into FY27, the initial FY27 guidance may be presented ex-Filtration with the acquisition layered in later.</w:t>
      </w:r>
    </w:p>
    <w:p>
      <w:r>
        <w:pict>
          <v:rect style="width:0;height:1.5pt" o:hralign="center" o:hrstd="t" o:hr="t"/>
        </w:pict>
      </w:r>
    </w:p>
    <w:bookmarkEnd w:id="14"/>
    <w:bookmarkStart w:id="15" w:name="X5982b216e54d575f83e114a16ffec93d3566c2b"/>
    <w:p>
      <w:pPr>
        <w:pStyle w:val="Heading2"/>
      </w:pPr>
      <w:r>
        <w:t xml:space="preserve">6. Margins, price/cost, and tariffs</w:t>
      </w:r>
    </w:p>
    <w:p>
      <w:pPr>
        <w:pStyle w:val="Compact"/>
        <w:numPr>
          <w:ilvl w:val="0"/>
          <w:numId w:val="1003"/>
        </w:numPr>
      </w:pPr>
      <w:r>
        <w:t xml:space="preserve">Full-year FY26 incrementals guided to</w:t>
      </w:r>
      <w:r>
        <w:t xml:space="preserve"> </w:t>
      </w:r>
      <w:r>
        <w:rPr>
          <w:b/>
          <w:bCs/>
        </w:rPr>
        <w:t xml:space="preserve">~40%</w:t>
      </w:r>
      <w:r>
        <w:t xml:space="preserve">, above the 30–35% target range; management remains confident in continued margin expansion even with a richer (lower-margin) OE mix from off-highway/transportation.</w:t>
      </w:r>
    </w:p>
    <w:p>
      <w:pPr>
        <w:pStyle w:val="Compact"/>
        <w:numPr>
          <w:ilvl w:val="0"/>
          <w:numId w:val="1003"/>
        </w:numPr>
      </w:pPr>
      <w:r>
        <w:rPr>
          <w:b/>
          <w:bCs/>
        </w:rPr>
        <w:t xml:space="preserve">Price/cost and tariffs:</w:t>
      </w:r>
      <w:r>
        <w:t xml:space="preserve"> </w:t>
      </w:r>
      <w:r>
        <w:t xml:space="preserve">management repeatedly downplayed tariff risk — it's a "25-year muscle," managed with no expected earnings impact, and any tariff refunds treated as a contingency gain (recognized only when received, not forecast). Watch whether Section 232 dynamics or the updated tariff framework change that messaging.</w:t>
      </w:r>
    </w:p>
    <w:p>
      <w:pPr>
        <w:pStyle w:val="Compact"/>
        <w:numPr>
          <w:ilvl w:val="0"/>
          <w:numId w:val="1003"/>
        </w:numPr>
      </w:pPr>
      <w:r>
        <w:t xml:space="preserve">Q3 industrial incrementals were softer than usual (weather disruption in North America + higher OE mix); worth confirming this was transitory.</w:t>
      </w:r>
    </w:p>
    <w:p>
      <w:r>
        <w:pict>
          <v:rect style="width:0;height:1.5pt" o:hralign="center" o:hrstd="t" o:hr="t"/>
        </w:pict>
      </w:r>
    </w:p>
    <w:bookmarkEnd w:id="15"/>
    <w:bookmarkStart w:id="16" w:name="X8ef4eabb87bf90e54cb12a6b1656073827b96ad"/>
    <w:p>
      <w:pPr>
        <w:pStyle w:val="Heading2"/>
      </w:pPr>
      <w:r>
        <w:t xml:space="preserve">7. Capital deployment</w:t>
      </w:r>
    </w:p>
    <w:p>
      <w:pPr>
        <w:pStyle w:val="FirstParagraph"/>
      </w:pPr>
      <w:r>
        <w:t xml:space="preserve">Parker remains a self-styled "great generator and deployer of cash":</w:t>
      </w:r>
    </w:p>
    <w:p>
      <w:pPr>
        <w:pStyle w:val="Compact"/>
        <w:numPr>
          <w:ilvl w:val="0"/>
          <w:numId w:val="1004"/>
        </w:numPr>
      </w:pPr>
      <w:r>
        <w:rPr>
          <w:b/>
          <w:bCs/>
        </w:rPr>
        <w:t xml:space="preserve">Dividend raised 11%</w:t>
      </w:r>
      <w:r>
        <w:t xml:space="preserve"> </w:t>
      </w:r>
      <w:r>
        <w:t xml:space="preserve">to $2.00/quarter — extending an industry-leading</w:t>
      </w:r>
      <w:r>
        <w:t xml:space="preserve"> </w:t>
      </w:r>
      <w:r>
        <w:rPr>
          <w:b/>
          <w:bCs/>
        </w:rPr>
        <w:t xml:space="preserve">70 consecutive years</w:t>
      </w:r>
      <w:r>
        <w:t xml:space="preserve"> </w:t>
      </w:r>
      <w:r>
        <w:t xml:space="preserve">of annual dividend increases.</w:t>
      </w:r>
    </w:p>
    <w:p>
      <w:pPr>
        <w:pStyle w:val="Compact"/>
        <w:numPr>
          <w:ilvl w:val="0"/>
          <w:numId w:val="1004"/>
        </w:numPr>
      </w:pPr>
      <w:r>
        <w:t xml:space="preserve">FY26 YTD buybacks of</w:t>
      </w:r>
      <w:r>
        <w:t xml:space="preserve"> </w:t>
      </w:r>
      <m:oMath>
        <m:r>
          <m:t>825</m:t>
        </m:r>
        <m:r>
          <m:t>M</m:t>
        </m:r>
        <m:r>
          <m:rPr>
            <m:sty m:val="p"/>
          </m:rPr>
          <m:t>(</m:t>
        </m:r>
      </m:oMath>
      <w:r>
        <w:t xml:space="preserve">275M in Q3); ~$1.6B repurchased in FY25.</w:t>
      </w:r>
    </w:p>
    <w:p>
      <w:pPr>
        <w:pStyle w:val="Compact"/>
        <w:numPr>
          <w:ilvl w:val="0"/>
          <w:numId w:val="1004"/>
        </w:numPr>
      </w:pPr>
      <w:r>
        <w:t xml:space="preserve">CFOA tracking toward ~$4B for the year. Post-Filtration, buyback capacity is likely constrained near term as leverage is paid down — a nuance for those modeling FY27 share count.</w:t>
      </w:r>
    </w:p>
    <w:p>
      <w:r>
        <w:pict>
          <v:rect style="width:0;height:1.5pt" o:hralign="center" o:hrstd="t" o:hr="t"/>
        </w:pict>
      </w:r>
    </w:p>
    <w:bookmarkEnd w:id="16"/>
    <w:bookmarkStart w:id="17" w:name="X390bad9b559604e9826444a7b1e03d5a272deb7"/>
    <w:p>
      <w:pPr>
        <w:pStyle w:val="Heading2"/>
      </w:pPr>
      <w:r>
        <w:t xml:space="preserve">8. Stock setup &amp; reaction risk</w:t>
      </w:r>
    </w:p>
    <w:p>
      <w:pPr>
        <w:pStyle w:val="Compact"/>
        <w:numPr>
          <w:ilvl w:val="0"/>
          <w:numId w:val="1005"/>
        </w:numPr>
      </w:pPr>
      <w:r>
        <w:t xml:space="preserve">PH is near</w:t>
      </w:r>
      <w:r>
        <w:t xml:space="preserve"> </w:t>
      </w:r>
      <w:r>
        <w:rPr>
          <w:b/>
          <w:bCs/>
        </w:rPr>
        <w:t xml:space="preserve">all-time highs (~$997)</w:t>
      </w:r>
      <w:r>
        <w:t xml:space="preserve">, up ~40% y/y, having compounded through FY26. Expectations are elevated and valuation is full.</w:t>
      </w:r>
    </w:p>
    <w:p>
      <w:pPr>
        <w:pStyle w:val="Compact"/>
        <w:numPr>
          <w:ilvl w:val="0"/>
          <w:numId w:val="1005"/>
        </w:numPr>
      </w:pPr>
      <w:r>
        <w:t xml:space="preserve">Reaction has been inconsistent to good prints: the stock</w:t>
      </w:r>
      <w:r>
        <w:t xml:space="preserve"> </w:t>
      </w:r>
      <w:r>
        <w:rPr>
          <w:b/>
          <w:bCs/>
        </w:rPr>
        <w:t xml:space="preserve">jumped ~8% on the Q1'26 report (Nov 6)</w:t>
      </w:r>
      <w:r>
        <w:t xml:space="preserve"> </w:t>
      </w:r>
      <w:r>
        <w:t xml:space="preserve">but</w:t>
      </w:r>
      <w:r>
        <w:t xml:space="preserve"> </w:t>
      </w:r>
      <w:r>
        <w:rPr>
          <w:b/>
          <w:bCs/>
        </w:rPr>
        <w:t xml:space="preserve">fell ~4% after the record Q3 (Apr 30)</w:t>
      </w:r>
      <w:r>
        <w:t xml:space="preserve"> </w:t>
      </w:r>
      <w:r>
        <w:t xml:space="preserve">despite a beat-and-raise — a reminder that with a stock this extended, "in-line and raise" can still sell off if the FY27 bar isn't cleared.</w:t>
      </w:r>
    </w:p>
    <w:p>
      <w:pPr>
        <w:pStyle w:val="Compact"/>
        <w:numPr>
          <w:ilvl w:val="0"/>
          <w:numId w:val="1005"/>
        </w:numPr>
      </w:pPr>
      <w:r>
        <w:t xml:space="preserve">Because the Q4 beat is largely telegraphed,</w:t>
      </w:r>
      <w:r>
        <w:t xml:space="preserve"> </w:t>
      </w:r>
      <w:r>
        <w:rPr>
          <w:b/>
          <w:bCs/>
        </w:rPr>
        <w:t xml:space="preserve">the FY27 initial guide is the swing factor.</w:t>
      </w:r>
      <w:r>
        <w:t xml:space="preserve"> </w:t>
      </w:r>
      <w:r>
        <w:t xml:space="preserve">On the Q3 call, management strongly hinted it "likes the setup for FY27" and declined to deny the suggestion that FY27 industrial growth could be a couple points better than FY26 — investors will look for that to be validated in the formal outlook.</w:t>
      </w:r>
    </w:p>
    <w:p>
      <w:r>
        <w:pict>
          <v:rect style="width:0;height:1.5pt" o:hralign="center" o:hrstd="t" o:hr="t"/>
        </w:pict>
      </w:r>
    </w:p>
    <w:bookmarkEnd w:id="17"/>
    <w:bookmarkStart w:id="18" w:name="Xbeb4c46c467c44ce504ee7dffea8b4961877de4"/>
    <w:p>
      <w:pPr>
        <w:pStyle w:val="Heading2"/>
      </w:pPr>
      <w:r>
        <w:t xml:space="preserve">9. What I'd focus on / key questions for the call</w:t>
      </w:r>
    </w:p>
    <w:p>
      <w:pPr>
        <w:pStyle w:val="Compact"/>
        <w:numPr>
          <w:ilvl w:val="0"/>
          <w:numId w:val="1006"/>
        </w:numPr>
      </w:pPr>
      <w:r>
        <w:rPr>
          <w:b/>
          <w:bCs/>
        </w:rPr>
        <w:t xml:space="preserve">Initial FY27 guidance</w:t>
      </w:r>
      <w:r>
        <w:t xml:space="preserve"> </w:t>
      </w:r>
      <w:r>
        <w:t xml:space="preserve">— organic growth, margin expansion, EPS, and whether/how Filtration Group is included. This is the print's center of gravity.</w:t>
      </w:r>
    </w:p>
    <w:p>
      <w:pPr>
        <w:pStyle w:val="Compact"/>
        <w:numPr>
          <w:ilvl w:val="0"/>
          <w:numId w:val="1006"/>
        </w:numPr>
      </w:pPr>
      <w:r>
        <w:rPr>
          <w:b/>
          <w:bCs/>
        </w:rPr>
        <w:t xml:space="preserve">Industrial short-cycle recouple</w:t>
      </w:r>
      <w:r>
        <w:t xml:space="preserve"> </w:t>
      </w:r>
      <w:r>
        <w:t xml:space="preserve">— does the multi-quarter order strength (esp. NA +7%, Asia) finally translate into accelerating industrial revenue? Any restocking signs from distribution (none seen at Q3)?</w:t>
      </w:r>
    </w:p>
    <w:p>
      <w:pPr>
        <w:pStyle w:val="Compact"/>
        <w:numPr>
          <w:ilvl w:val="0"/>
          <w:numId w:val="1006"/>
        </w:numPr>
      </w:pPr>
      <w:r>
        <w:rPr>
          <w:b/>
          <w:bCs/>
        </w:rPr>
        <w:t xml:space="preserve">Aerospace durability</w:t>
      </w:r>
      <w:r>
        <w:t xml:space="preserve"> </w:t>
      </w:r>
      <w:r>
        <w:t xml:space="preserve">— order/backlog trajectory, OE vs. aftermarket mix, and margin resilience as OE mix rises.</w:t>
      </w:r>
    </w:p>
    <w:p>
      <w:pPr>
        <w:pStyle w:val="Compact"/>
        <w:numPr>
          <w:ilvl w:val="0"/>
          <w:numId w:val="1006"/>
        </w:numPr>
      </w:pPr>
      <w:r>
        <w:rPr>
          <w:b/>
          <w:bCs/>
        </w:rPr>
        <w:t xml:space="preserve">Filtration Group</w:t>
      </w:r>
      <w:r>
        <w:t xml:space="preserve"> </w:t>
      </w:r>
      <w:r>
        <w:t xml:space="preserve">— close timing, regulatory status, synergy phasing, and the deleveraging path.</w:t>
      </w:r>
    </w:p>
    <w:p>
      <w:pPr>
        <w:pStyle w:val="Compact"/>
        <w:numPr>
          <w:ilvl w:val="0"/>
          <w:numId w:val="1006"/>
        </w:numPr>
      </w:pPr>
      <w:r>
        <w:rPr>
          <w:b/>
          <w:bCs/>
        </w:rPr>
        <w:t xml:space="preserve">Margins &amp; incrementals</w:t>
      </w:r>
      <w:r>
        <w:t xml:space="preserve"> </w:t>
      </w:r>
      <w:r>
        <w:t xml:space="preserve">— confirmation that soft Q3 industrial incrementals were weather/mix-driven and that the ~40% full-year incremental holds.</w:t>
      </w:r>
    </w:p>
    <w:p>
      <w:pPr>
        <w:pStyle w:val="Compact"/>
        <w:numPr>
          <w:ilvl w:val="0"/>
          <w:numId w:val="1006"/>
        </w:numPr>
      </w:pPr>
      <w:r>
        <w:rPr>
          <w:b/>
          <w:bCs/>
        </w:rPr>
        <w:t xml:space="preserve">Tariffs / price-cost</w:t>
      </w:r>
      <w:r>
        <w:t xml:space="preserve"> </w:t>
      </w:r>
      <w:r>
        <w:t xml:space="preserve">— whether the confident "no earnings impact" stance persists under the latest tariff framework.</w:t>
      </w:r>
    </w:p>
    <w:p>
      <w:pPr>
        <w:pStyle w:val="Compact"/>
        <w:numPr>
          <w:ilvl w:val="0"/>
          <w:numId w:val="1006"/>
        </w:numPr>
      </w:pPr>
      <w:r>
        <w:rPr>
          <w:b/>
          <w:bCs/>
        </w:rPr>
        <w:t xml:space="preserve">Capital allocation</w:t>
      </w:r>
      <w:r>
        <w:t xml:space="preserve"> </w:t>
      </w:r>
      <w:r>
        <w:t xml:space="preserve">— buyback cadence given the pending debt-funded deal; any M&amp;A pipeline commentary.</w:t>
      </w:r>
    </w:p>
    <w:p>
      <w:r>
        <w:pict>
          <v:rect style="width:0;height:1.5pt" o:hralign="center" o:hrstd="t" o:hr="t"/>
        </w:pict>
      </w:r>
    </w:p>
    <w:p>
      <w:pPr>
        <w:pStyle w:val="FirstParagraph"/>
      </w:pPr>
      <w:r>
        <w:rPr>
          <w:i/>
          <w:iCs/>
        </w:rPr>
        <w:t xml:space="preserve">Note: All figures above are drawn from Parker's fiscal 2026 Q3 earnings release and call (Apr 30, 2026) and fiscal 2025 Q4 release (Aug 7, 2025); the Filtration Group deal terms are from the November 2025 announcement. Verify against the actual Q4 release the morning of Aug 6. I was unable to surface a current sell-side consensus figure for FQ4'26 via the available tools, so the "bar" above is anchored on management's own guidance rather than Street estimates.</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2026-08-06T00:47:02Z</dcterms:created>
  <dcterms:modified xsi:type="dcterms:W3CDTF">2026-08-06T00:47:02Z</dcterms:modified>
</cp:coreProperties>
</file>

<file path=docProps/custom.xml><?xml version="1.0" encoding="utf-8"?>
<Properties xmlns="http://schemas.openxmlformats.org/officeDocument/2006/custom-properties" xmlns:vt="http://schemas.openxmlformats.org/officeDocument/2006/docPropsVTypes"/>
</file>