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-earnings-predictions--2026-08-06"/>
    <w:p>
      <w:pPr>
        <w:pStyle w:val="Heading1"/>
      </w:pPr>
      <w:r>
        <w:t xml:space="preserve">PH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~$8.40 vs. cons $8.30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~$5.68B vs. cons $5.61B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Aerospace organic growth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~11% vs. cons/guide ~9%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reported sales growth (initial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~9% vs. cons ~6%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(initial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~$33.50 vs. cons $32.50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Aerospace organic growth outlook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~7% vs. cons ~6%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Industrial organic growth outlook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~3% vs. cons ~2.5%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PH enters the print at record highs (~</w:t>
            </w:r>
            <m:oMath>
              <m:r>
                <m:t>997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t</m:t>
              </m:r>
              <m:r>
                <m:t>c</m:t>
              </m:r>
              <m:r>
                <m:t>h</m:t>
              </m:r>
              <m:r>
                <m:t>e</m:t>
              </m:r>
              <m:r>
                <m:t>d</m:t>
              </m:r>
              <m:r>
                <m:t>m</m:t>
              </m:r>
              <m:r>
                <m:t>u</m:t>
              </m:r>
              <m:r>
                <m:t>l</m:t>
              </m:r>
              <m:r>
                <m:t>t</m:t>
              </m:r>
              <m:r>
                <m:t>i</m:t>
              </m:r>
              <m:r>
                <m:t>p</m:t>
              </m:r>
              <m:r>
                <m:t>l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29</m:t>
              </m:r>
              <m:r>
                <m:t>x</m:t>
              </m:r>
              <m:r>
                <m:t>F</m:t>
              </m:r>
              <m:r>
                <m:t>27</m:t>
              </m:r>
              <m:r>
                <m:t>E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21.3</m:t>
              </m:r>
              <m:r>
                <m:t>x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rPr>
                  <m:sty m:val="p"/>
                </m:rPr>
                <m:t>)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8.30/</w:t>
            </w:r>
            <m:oMath>
              <m:r>
                <m:t>5.61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r</m:t>
              </m:r>
              <m:r>
                <m:t>u</m:t>
              </m:r>
              <m:r>
                <m:t>n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m</m:t>
              </m:r>
              <m:r>
                <m:t>a</m:t>
              </m:r>
              <m:r>
                <m:t>n</m:t>
              </m:r>
              <m:r>
                <m:t>a</m:t>
              </m:r>
              <m:r>
                <m:t>g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sSup>
                <m:e>
                  <m:r>
                    <m:t>t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o</m:t>
              </m:r>
              <m:r>
                <m:t>w</m:t>
              </m:r>
              <m:r>
                <m:t>n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r</m:t>
              </m:r>
              <m:r>
                <m:t>v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Q</m:t>
              </m:r>
              <m:r>
                <m:t>4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(</m:t>
              </m:r>
            </m:oMath>
            <w:r>
              <w:t xml:space="preserve">8.16/$5.5B) — the opposite setup from Q3, when a beat-and-raise still triggered a 5.46% pre-market decline on valuation grounds. Even with another likely Q4 beat and a directionally 'better' initial FY27 framework (boosted by Filtration Group/CIRCOR Aerospace inorganic contribution), the initial FY27 EPS guide will likely embed conservative assumptions plus new interest expense/dilution from the $7.75B delayed-draw facilities funding Filtration Group, prompting sell-side to trim near-term (FY27 H1) numbers even as headline growth rates look strong — an implicit-cut dynamic that fades an initial pop or deepens an initial dip over the following days as analysts rework models around deal financing and integration costs.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2026-08-06T00:49:01Z</dcterms:created>
  <dcterms:modified xsi:type="dcterms:W3CDTF">2026-08-06T00:49:01Z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