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h-earnings-predictions--2026-08-06"/>
    <w:p>
      <w:pPr>
        <w:pStyle w:val="Heading1"/>
      </w:pPr>
      <w:r>
        <w:t xml:space="preserve">PH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(FY2026 Q4)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~$8.43 vs. cons $8.31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(FY2026 Q4)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~$5.62B vs. cons $5.58B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segment operating margin (FY2026 Q4)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~27.6% vs. cons 27.4%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~$33.60 vs. cons $34.01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~$22.60B vs. cons $22.68B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~5.5% vs. cons 5.5%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segment operating margin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~27.6% vs. cons 27.7%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-4.3% (FOLLOW-THROUGH)</w:t>
            </w:r>
          </w:p>
        </w:tc>
        <w:tc>
          <w:tcPr/>
          <w:p>
            <w:pPr>
              <w:pStyle w:val="Compact"/>
            </w:pPr>
            <w:r>
              <w:t xml:space="preserve">A modest Q4 beat is likely outweighed by FY2027 adjusted EPS guidance of ~$33.60 versus consensus of $34.01 and margin guidance of ~27.6% versus 27.7%; the resulting out-period estimate cuts should extend the negative residual move rather than produce a quick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2026-08-06T00:44:09Z</dcterms:created>
  <dcterms:modified xsi:type="dcterms:W3CDTF">2026-08-06T00:44:09Z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