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674b1ea8d8229570c2ad1f73e6e5c1de5af8c58"/>
    <w:p>
      <w:pPr>
        <w:pStyle w:val="Heading1"/>
      </w:pPr>
      <w:r>
        <w:t xml:space="preserve">Parker-Hannifin (PH) Fiscal Q4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Parker is scheduled to report</w:t>
      </w:r>
      <w:r>
        <w:t xml:space="preserve"> </w:t>
      </w:r>
      <w:r>
        <w:rPr>
          <w:b/>
          <w:bCs/>
        </w:rPr>
        <w:t xml:space="preserve">today, Thursday, August 6, 2026</w:t>
      </w:r>
      <w:r>
        <w:t xml:space="preserve">, before the U.S. market opens—not tomorrow. The conference call begins at</w:t>
      </w:r>
      <w:r>
        <w:t xml:space="preserve"> </w:t>
      </w:r>
      <w:r>
        <w:rPr>
          <w:b/>
          <w:bCs/>
        </w:rPr>
        <w:t xml:space="preserve">11:00 a.m. ET</w:t>
      </w:r>
      <w:r>
        <w:t xml:space="preserve">. (</w:t>
      </w:r>
      <w:hyperlink r:id="rId9">
        <w:r>
          <w:rPr>
            <w:rStyle w:val="Hyperlink"/>
          </w:rPr>
          <w:t xml:space="preserve">investors.parker.com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Parker enters the report with strong operating momentum: accelerating industrial orders, record backlog, continued double-digit aerospace growth, and margins near record levels. The likely debate is not whether fiscal Q4 was good, but whether management's</w:t>
      </w:r>
      <w:r>
        <w:t xml:space="preserve"> </w:t>
      </w:r>
      <w:r>
        <w:rPr>
          <w:b/>
          <w:bCs/>
        </w:rPr>
        <w:t xml:space="preserve">initial fiscal 2027 outlook can justify the stock's premium valuation</w:t>
      </w:r>
      <w:r>
        <w:t xml:space="preserve">.</w:t>
      </w:r>
    </w:p>
    <w:p>
      <w:pPr>
        <w:pStyle w:val="BodyText"/>
      </w:pPr>
      <w:r>
        <w:t xml:space="preserve">The most important items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Fiscal 2027 organic-growth and EPS guidance</w:t>
      </w:r>
    </w:p>
    <w:p>
      <w:pPr>
        <w:pStyle w:val="Compact"/>
        <w:numPr>
          <w:ilvl w:val="0"/>
          <w:numId w:val="1001"/>
        </w:numPr>
      </w:pPr>
      <w:r>
        <w:t xml:space="preserve">Evidence that industrial orders are converting into revenue</w:t>
      </w:r>
    </w:p>
    <w:p>
      <w:pPr>
        <w:pStyle w:val="Compact"/>
        <w:numPr>
          <w:ilvl w:val="0"/>
          <w:numId w:val="1001"/>
        </w:numPr>
      </w:pPr>
      <w:r>
        <w:t xml:space="preserve">Aerospace growth and margin durability</w:t>
      </w:r>
    </w:p>
    <w:p>
      <w:pPr>
        <w:pStyle w:val="Compact"/>
        <w:numPr>
          <w:ilvl w:val="0"/>
          <w:numId w:val="1001"/>
        </w:numPr>
      </w:pPr>
      <w:r>
        <w:t xml:space="preserve">Free cash flow and acquisition financing</w:t>
      </w:r>
    </w:p>
    <w:p>
      <w:pPr>
        <w:pStyle w:val="Compact"/>
        <w:numPr>
          <w:ilvl w:val="0"/>
          <w:numId w:val="1001"/>
        </w:numPr>
      </w:pPr>
      <w:r>
        <w:t xml:space="preserve">Closing timelines for Filtration Group and CIRCOR Aerospace</w:t>
      </w:r>
    </w:p>
    <w:p>
      <w:pPr>
        <w:pStyle w:val="FirstParagraph"/>
      </w:pPr>
      <w:r>
        <w:t xml:space="preserve">A modest Q4 beat may not be enough if the FY27 outlook is conservative or if acquisition-related leverage and integration risks dominate the discussion.</w:t>
      </w:r>
    </w:p>
    <w:p>
      <w:r>
        <w:pict>
          <v:rect style="width:0;height:1.5pt" o:hralign="center" o:hrstd="t" o:hr="t"/>
        </w:pict>
      </w:r>
    </w:p>
    <w:bookmarkEnd w:id="10"/>
    <w:bookmarkStart w:id="13" w:name="numbers-to-know"/>
    <w:p>
      <w:pPr>
        <w:pStyle w:val="Heading2"/>
      </w:pPr>
      <w:r>
        <w:t xml:space="preserve">Numbers to know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PH’s Q4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Third-party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FY25 Q4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$5.5B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$5.58B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$5.24B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segment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27.4%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$8.27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$7.69</w:t>
            </w:r>
          </w:p>
        </w:tc>
      </w:tr>
    </w:tbl>
    <w:p>
      <w:pPr>
        <w:pStyle w:val="BodyText"/>
      </w:pPr>
      <w:r>
        <w:t xml:space="preserve">Consensus snapshots indicate roughly $5.58 billion of revenue and $8.27 of adjusted EPS, placing the Street modestly above management's April guidance.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Parker's full-year guidance entering the report is: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Reported sales growth:</w:t>
      </w:r>
      <w:r>
        <w:t xml:space="preserve"> </w:t>
      </w:r>
      <w:r>
        <w:t xml:space="preserve">approximately 7%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sales growth:</w:t>
      </w:r>
      <w:r>
        <w:t xml:space="preserve"> </w:t>
      </w:r>
      <w:r>
        <w:t xml:space="preserve">approximately 5.5%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segment margin:</w:t>
      </w:r>
      <w:r>
        <w:t xml:space="preserve"> </w:t>
      </w:r>
      <w:r>
        <w:t xml:space="preserve">approximately 27.2%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approximately $31.20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Free cash flow:</w:t>
      </w:r>
      <w:r>
        <w:t xml:space="preserve"> </w:t>
      </w:r>
      <m:oMath>
        <m:r>
          <m:t>3.3</m:t>
        </m:r>
        <m:r>
          <m:rPr>
            <m:sty m:val="p"/>
          </m:rPr>
          <m:t>–</m:t>
        </m:r>
      </m:oMath>
      <w:r>
        <w:t xml:space="preserve">3.6 billion</w:t>
      </w:r>
    </w:p>
    <w:p>
      <w:pPr>
        <w:pStyle w:val="FirstParagraph"/>
      </w:pPr>
      <w:r>
        <w:t xml:space="preserve">The company raised these targets following a Q3 in which sales grew 11%, organic growth reached 6.5%, orders increased 9%, and backlog reached a record $12.5 billion. (</w:t>
      </w:r>
      <w:hyperlink r:id="rId12">
        <w:r>
          <w:rPr>
            <w:rStyle w:val="Hyperlink"/>
          </w:rPr>
          <w:t xml:space="preserve">investors.parker.com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5" w:name="X99a6a47dd1567c4f4b13e65da088c644ef632d0"/>
    <w:p>
      <w:pPr>
        <w:pStyle w:val="Heading2"/>
      </w:pPr>
      <w:r>
        <w:t xml:space="preserve">1. Fiscal 2027 guidance is the real event</w:t>
      </w:r>
    </w:p>
    <w:p>
      <w:pPr>
        <w:pStyle w:val="FirstParagraph"/>
      </w:pPr>
      <w:r>
        <w:t xml:space="preserve">The Q4 print is substantially de-risked by management's relatively detailed April guidance. Investors will probably focus more heavily on Parker's first FY27 framework.</w:t>
      </w:r>
    </w:p>
    <w:bookmarkStart w:id="14" w:name="key-questions"/>
    <w:p>
      <w:pPr>
        <w:pStyle w:val="Heading3"/>
      </w:pPr>
      <w:r>
        <w:t xml:space="preserve">Key questions</w:t>
      </w:r>
    </w:p>
    <w:p>
      <w:pPr>
        <w:pStyle w:val="Compact"/>
        <w:numPr>
          <w:ilvl w:val="0"/>
          <w:numId w:val="1003"/>
        </w:numPr>
      </w:pPr>
      <w:r>
        <w:t xml:space="preserve">Does organic growth accelerate from FY26's approximately 5.5%?</w:t>
      </w:r>
    </w:p>
    <w:p>
      <w:pPr>
        <w:pStyle w:val="Compact"/>
        <w:numPr>
          <w:ilvl w:val="0"/>
          <w:numId w:val="1003"/>
        </w:numPr>
      </w:pPr>
      <w:r>
        <w:t xml:space="preserve">Can Aerospace remain near double-digit growth after four unusually strong years?</w:t>
      </w:r>
    </w:p>
    <w:p>
      <w:pPr>
        <w:pStyle w:val="Compact"/>
        <w:numPr>
          <w:ilvl w:val="0"/>
          <w:numId w:val="1003"/>
        </w:numPr>
      </w:pPr>
      <w:r>
        <w:t xml:space="preserve">How much growth is embedded from the industrial backlog versus assumed improvements in short-cycle demand?</w:t>
      </w:r>
    </w:p>
    <w:p>
      <w:pPr>
        <w:pStyle w:val="Compact"/>
        <w:numPr>
          <w:ilvl w:val="0"/>
          <w:numId w:val="1003"/>
        </w:numPr>
      </w:pPr>
      <w:r>
        <w:t xml:space="preserve">Can adjusted segment margin expand again from approximately 27.2%?</w:t>
      </w:r>
    </w:p>
    <w:p>
      <w:pPr>
        <w:pStyle w:val="Compact"/>
        <w:numPr>
          <w:ilvl w:val="0"/>
          <w:numId w:val="1003"/>
        </w:numPr>
      </w:pPr>
      <w:r>
        <w:t xml:space="preserve">What level of incremental margin does management expect?</w:t>
      </w:r>
    </w:p>
    <w:p>
      <w:pPr>
        <w:pStyle w:val="Compact"/>
        <w:numPr>
          <w:ilvl w:val="0"/>
          <w:numId w:val="1003"/>
        </w:numPr>
      </w:pPr>
      <w:r>
        <w:t xml:space="preserve">Does FY27 guidance include any contribution from Filtration Group or CIRCOR Aerospace?</w:t>
      </w:r>
    </w:p>
    <w:p>
      <w:pPr>
        <w:pStyle w:val="FirstParagraph"/>
      </w:pPr>
      <w:r>
        <w:t xml:space="preserve">Parker has said that it likes the FY27 setup, supported by positive industrial orders and improving breadth across short- and long-cycle markets. However, management also noted that some orders—especially defense, energy and construction bookings—are scheduled beyond FY26. Investors should therefore distinguish between</w:t>
      </w:r>
      <w:r>
        <w:t xml:space="preserve"> </w:t>
      </w:r>
      <w:r>
        <w:rPr>
          <w:b/>
          <w:bCs/>
        </w:rPr>
        <w:t xml:space="preserve">headline order growth and near-term shipment conversion</w:t>
      </w:r>
      <w:r>
        <w:t xml:space="preserve">.</w:t>
      </w:r>
    </w:p>
    <w:p>
      <w:pPr>
        <w:pStyle w:val="BodyText"/>
      </w:pPr>
      <w:r>
        <w:t xml:space="preserve">A strong outlook would likely pair mid-single-digit or better organic growth with continued margin expansion and adjusted EPS growth comfortably above the industrial sector average. Conversely, low-single-digit organic guidance or flat margins could be viewed as underwhelming given the valuation.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Xbf042c937e72a6308a86563fa9ae2c8bfad3d65"/>
    <w:p>
      <w:pPr>
        <w:pStyle w:val="Heading2"/>
      </w:pPr>
      <w:r>
        <w:t xml:space="preserve">2. Industrial recovery: orders need to become sales</w:t>
      </w:r>
    </w:p>
    <w:p>
      <w:pPr>
        <w:pStyle w:val="FirstParagraph"/>
      </w:pPr>
      <w:r>
        <w:t xml:space="preserve">Industrial North America and International both generated positive organic growth in Q3, but revenue growth remained below their respective order rates: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Q3 FY26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Order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Adjusted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Industrial North America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Industrial International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25.3%</w:t>
            </w:r>
          </w:p>
        </w:tc>
      </w:tr>
    </w:tbl>
    <w:p>
      <w:pPr>
        <w:pStyle w:val="BodyText"/>
      </w:pPr>
      <w:r>
        <w:t xml:space="preserve">The combined industrial backlog was approximately $4.1 billion at the end of Q3. Management described the recovery as increasingly broad-based, with improvement in construction, heavy truck, in-plant industrial activity, electronics and selected energy markets.</w:t>
      </w:r>
    </w:p>
    <w:bookmarkStart w:id="16" w:name="what-would-be-encouraging"/>
    <w:p>
      <w:pPr>
        <w:pStyle w:val="Heading3"/>
      </w:pPr>
      <w:r>
        <w:t xml:space="preserve">What would be encouraging</w:t>
      </w:r>
    </w:p>
    <w:p>
      <w:pPr>
        <w:pStyle w:val="Compact"/>
        <w:numPr>
          <w:ilvl w:val="0"/>
          <w:numId w:val="1004"/>
        </w:numPr>
      </w:pPr>
      <w:r>
        <w:t xml:space="preserve">Q4 industrial organic growth at or above the approximately 3% company forecast</w:t>
      </w:r>
    </w:p>
    <w:p>
      <w:pPr>
        <w:pStyle w:val="Compact"/>
        <w:numPr>
          <w:ilvl w:val="0"/>
          <w:numId w:val="1004"/>
        </w:numPr>
      </w:pPr>
      <w:r>
        <w:t xml:space="preserve">Continued mid-single-digit order growth</w:t>
      </w:r>
    </w:p>
    <w:p>
      <w:pPr>
        <w:pStyle w:val="Compact"/>
        <w:numPr>
          <w:ilvl w:val="0"/>
          <w:numId w:val="1004"/>
        </w:numPr>
      </w:pPr>
      <w:r>
        <w:t xml:space="preserve">Better distribution trends without an inventory-driven restocking spike</w:t>
      </w:r>
    </w:p>
    <w:p>
      <w:pPr>
        <w:pStyle w:val="Compact"/>
        <w:numPr>
          <w:ilvl w:val="0"/>
          <w:numId w:val="1004"/>
        </w:numPr>
      </w:pPr>
      <w:r>
        <w:t xml:space="preserve">Positive commentary on European industrial demand</w:t>
      </w:r>
    </w:p>
    <w:p>
      <w:pPr>
        <w:pStyle w:val="Compact"/>
        <w:numPr>
          <w:ilvl w:val="0"/>
          <w:numId w:val="1004"/>
        </w:numPr>
      </w:pPr>
      <w:r>
        <w:t xml:space="preserve">Continued high-single-digit growth in Asia-Pacific</w:t>
      </w:r>
    </w:p>
    <w:p>
      <w:pPr>
        <w:pStyle w:val="Compact"/>
        <w:numPr>
          <w:ilvl w:val="0"/>
          <w:numId w:val="1004"/>
        </w:numPr>
      </w:pPr>
      <w:r>
        <w:t xml:space="preserve">Evidence that North American OEM strength is broadening beyond a few markets</w:t>
      </w:r>
    </w:p>
    <w:bookmarkEnd w:id="16"/>
    <w:bookmarkStart w:id="17" w:name="main-margin-issue"/>
    <w:p>
      <w:pPr>
        <w:pStyle w:val="Heading3"/>
      </w:pPr>
      <w:r>
        <w:t xml:space="preserve">Main margin issue</w:t>
      </w:r>
    </w:p>
    <w:p>
      <w:pPr>
        <w:pStyle w:val="FirstParagraph"/>
      </w:pPr>
      <w:r>
        <w:t xml:space="preserve">Parker's industrial OEM business generally carries lower margins than distribution and aftermarket revenue. During Q3, stronger off-highway and transportation OEM growth restrained incremental margins despite otherwise healthy results. A recovery led by distribution would offer a more attractive mix than one concentrated in lower-margin OEM shipments.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X462ceaf8053c48ca5e4cf0ce949092274e8cd93"/>
    <w:p>
      <w:pPr>
        <w:pStyle w:val="Heading2"/>
      </w:pPr>
      <w:r>
        <w:t xml:space="preserve">3. Aerospace remains the principal growth engine</w:t>
      </w:r>
    </w:p>
    <w:p>
      <w:pPr>
        <w:pStyle w:val="FirstParagraph"/>
      </w:pPr>
      <w:r>
        <w:t xml:space="preserve">Aerospace accounted for roughly one-third of company sales in Q3 and delivered: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14.2% organic sales growth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14% order growth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29.5% adjusted segment margin</w:t>
      </w:r>
    </w:p>
    <w:p>
      <w:pPr>
        <w:pStyle w:val="Compact"/>
        <w:numPr>
          <w:ilvl w:val="0"/>
          <w:numId w:val="1005"/>
        </w:numPr>
      </w:pPr>
      <w:r>
        <w:t xml:space="preserve">A record</w:t>
      </w:r>
      <w:r>
        <w:t xml:space="preserve"> </w:t>
      </w:r>
      <w:r>
        <w:rPr>
          <w:b/>
          <w:bCs/>
        </w:rPr>
        <w:t xml:space="preserve">$8.4 billion backlog</w:t>
      </w:r>
    </w:p>
    <w:p>
      <w:pPr>
        <w:pStyle w:val="Compact"/>
        <w:numPr>
          <w:ilvl w:val="0"/>
          <w:numId w:val="1005"/>
        </w:numPr>
      </w:pPr>
      <w:r>
        <w:t xml:space="preserve">22% commercial OEM growth</w:t>
      </w:r>
    </w:p>
    <w:p>
      <w:pPr>
        <w:pStyle w:val="Compact"/>
        <w:numPr>
          <w:ilvl w:val="0"/>
          <w:numId w:val="1005"/>
        </w:numPr>
      </w:pPr>
      <w:r>
        <w:t xml:space="preserve">14% commercial aftermarket growth</w:t>
      </w:r>
    </w:p>
    <w:p>
      <w:pPr>
        <w:pStyle w:val="FirstParagraph"/>
      </w:pPr>
      <w:r>
        <w:t xml:space="preserve">For Q4, Parker forecast approximately 9% Aerospace organic growth, including low-20% commercial OEM growth, low-teens commercial aftermarket growth, mid-single-digit defense OEM growth and low-single-digit defense aftermarket growth.</w:t>
      </w:r>
    </w:p>
    <w:p>
      <w:pPr>
        <w:pStyle w:val="BodyText"/>
      </w:pPr>
      <w:r>
        <w:t xml:space="preserve">The key question is whether Aerospace can preserve approximately 30% margins as commercial OEM becomes a larger part of the mix. OEM revenue usually has less favorable economics than aftermarket sales, although Parker has thus far offset that pressure through pricing, productivity and acquisition synergies.</w:t>
      </w:r>
    </w:p>
    <w:bookmarkStart w:id="19" w:name="listen-for"/>
    <w:p>
      <w:pPr>
        <w:pStyle w:val="Heading3"/>
      </w:pPr>
      <w:r>
        <w:t xml:space="preserve">Listen for</w:t>
      </w:r>
    </w:p>
    <w:p>
      <w:pPr>
        <w:pStyle w:val="Compact"/>
        <w:numPr>
          <w:ilvl w:val="0"/>
          <w:numId w:val="1006"/>
        </w:numPr>
      </w:pPr>
      <w:r>
        <w:t xml:space="preserve">Aircraft production-rate assumptions</w:t>
      </w:r>
    </w:p>
    <w:p>
      <w:pPr>
        <w:pStyle w:val="Compact"/>
        <w:numPr>
          <w:ilvl w:val="0"/>
          <w:numId w:val="1006"/>
        </w:numPr>
      </w:pPr>
      <w:r>
        <w:t xml:space="preserve">Commercial aftermarket normalization</w:t>
      </w:r>
    </w:p>
    <w:p>
      <w:pPr>
        <w:pStyle w:val="Compact"/>
        <w:numPr>
          <w:ilvl w:val="0"/>
          <w:numId w:val="1006"/>
        </w:numPr>
      </w:pPr>
      <w:r>
        <w:t xml:space="preserve">Supply-chain availability and customer shipment schedules</w:t>
      </w:r>
    </w:p>
    <w:p>
      <w:pPr>
        <w:pStyle w:val="Compact"/>
        <w:numPr>
          <w:ilvl w:val="0"/>
          <w:numId w:val="1006"/>
        </w:numPr>
      </w:pPr>
      <w:r>
        <w:t xml:space="preserve">Defense order conversion and 9–15-month lead times</w:t>
      </w:r>
    </w:p>
    <w:p>
      <w:pPr>
        <w:pStyle w:val="Compact"/>
        <w:numPr>
          <w:ilvl w:val="0"/>
          <w:numId w:val="1006"/>
        </w:numPr>
      </w:pPr>
      <w:r>
        <w:t xml:space="preserve">Pricing versus labor and material inflation</w:t>
      </w:r>
    </w:p>
    <w:p>
      <w:pPr>
        <w:pStyle w:val="Compact"/>
        <w:numPr>
          <w:ilvl w:val="0"/>
          <w:numId w:val="1006"/>
        </w:numPr>
      </w:pPr>
      <w:r>
        <w:t xml:space="preserve">Margin expectations after several years of exceptional growth</w:t>
      </w:r>
    </w:p>
    <w:p>
      <w:pPr>
        <w:pStyle w:val="FirstParagraph"/>
      </w:pPr>
      <w:r>
        <w:t xml:space="preserve">Aerospace results above the 9% Q4 growth guide, combined with stable or expanding margins, would be one of the clearest potential upside catalysts.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0dd525dd75f55fa7e6787e325538770abef59f5"/>
    <w:p>
      <w:pPr>
        <w:pStyle w:val="Heading2"/>
      </w:pPr>
      <w:r>
        <w:t xml:space="preserve">4. Margins: expectations are already demanding</w:t>
      </w:r>
    </w:p>
    <w:p>
      <w:pPr>
        <w:pStyle w:val="FirstParagraph"/>
      </w:pPr>
      <w:r>
        <w:t xml:space="preserve">Parker guided to a</w:t>
      </w:r>
      <w:r>
        <w:t xml:space="preserve"> </w:t>
      </w:r>
      <w:r>
        <w:rPr>
          <w:b/>
          <w:bCs/>
        </w:rPr>
        <w:t xml:space="preserve">27.4% adjusted segment margin</w:t>
      </w:r>
      <w:r>
        <w:t xml:space="preserve"> </w:t>
      </w:r>
      <w:r>
        <w:t xml:space="preserve">for Q4, about 50 basis points above the prior-year quarter. That would bring the full-year result to approximately 27.2%, up roughly 110 basis points.</w:t>
      </w:r>
    </w:p>
    <w:p>
      <w:pPr>
        <w:pStyle w:val="BodyText"/>
      </w:pPr>
      <w:r>
        <w:t xml:space="preserve">Management's normalized incremental-margin target is generally 30%–35%, although FY26 incrementals were expected to be approximately 40%. Investors will want to know whether FY26 was unusually favorable or whether Parker's business mix and operating system have structurally raised its incremental-profit potential.</w:t>
      </w:r>
    </w:p>
    <w:p>
      <w:pPr>
        <w:pStyle w:val="BodyText"/>
      </w:pPr>
      <w:r>
        <w:t xml:space="preserve">The best outcome would be:</w:t>
      </w:r>
    </w:p>
    <w:p>
      <w:pPr>
        <w:pStyle w:val="Compact"/>
        <w:numPr>
          <w:ilvl w:val="0"/>
          <w:numId w:val="1007"/>
        </w:numPr>
      </w:pPr>
      <w:r>
        <w:t xml:space="preserve">Q4 margin at least in line with 27.4%</w:t>
      </w:r>
    </w:p>
    <w:p>
      <w:pPr>
        <w:pStyle w:val="Compact"/>
        <w:numPr>
          <w:ilvl w:val="0"/>
          <w:numId w:val="1007"/>
        </w:numPr>
      </w:pPr>
      <w:r>
        <w:t xml:space="preserve">Additional FY27 expansion despite tougher comparisons</w:t>
      </w:r>
    </w:p>
    <w:p>
      <w:pPr>
        <w:pStyle w:val="Compact"/>
        <w:numPr>
          <w:ilvl w:val="0"/>
          <w:numId w:val="1007"/>
        </w:numPr>
      </w:pPr>
      <w:r>
        <w:t xml:space="preserve">No material tariff-driven price/cost lag</w:t>
      </w:r>
    </w:p>
    <w:p>
      <w:pPr>
        <w:pStyle w:val="Compact"/>
        <w:numPr>
          <w:ilvl w:val="0"/>
          <w:numId w:val="1007"/>
        </w:numPr>
      </w:pPr>
      <w:r>
        <w:t xml:space="preserve">Continued productivity benefits from The Win Strategy</w:t>
      </w:r>
    </w:p>
    <w:p>
      <w:pPr>
        <w:pStyle w:val="Compact"/>
        <w:numPr>
          <w:ilvl w:val="0"/>
          <w:numId w:val="1007"/>
        </w:numPr>
      </w:pPr>
      <w:r>
        <w:t xml:space="preserve">Limited dilution from OEM-heavy growth</w:t>
      </w:r>
    </w:p>
    <w:p>
      <w:pPr>
        <w:pStyle w:val="FirstParagraph"/>
      </w:pPr>
      <w:r>
        <w:t xml:space="preserve">A revenue beat accompanied by a margin miss would likely be treated less favorably than a smaller sales beat with strong profitability.</w:t>
      </w:r>
    </w:p>
    <w:p>
      <w:r>
        <w:pict>
          <v:rect style="width:0;height:1.5pt" o:hralign="center" o:hrstd="t" o:hr="t"/>
        </w:pict>
      </w:r>
    </w:p>
    <w:bookmarkEnd w:id="21"/>
    <w:bookmarkStart w:id="26" w:name="X461a1bd2735b0d57a49f50e07eee2d87102ffd5"/>
    <w:p>
      <w:pPr>
        <w:pStyle w:val="Heading2"/>
      </w:pPr>
      <w:r>
        <w:t xml:space="preserve">5. Free cash flow matters more because of M&amp;A</w:t>
      </w:r>
    </w:p>
    <w:p>
      <w:pPr>
        <w:pStyle w:val="FirstParagraph"/>
      </w:pPr>
      <w:r>
        <w:t xml:space="preserve">Parker generated</w:t>
      </w:r>
      <w:r>
        <w:t xml:space="preserve"> </w:t>
      </w:r>
      <m:oMath>
        <m:r>
          <m:t>2.3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n</m:t>
        </m:r>
        <m:r>
          <m:t>i</m:t>
        </m:r>
        <m:r>
          <m:t>n</m:t>
        </m:r>
        <m:r>
          <m:t>e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t>a</m:t>
        </m:r>
        <m:r>
          <m:t>n</m:t>
        </m:r>
        <m:r>
          <m:t>d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3.3–</w:t>
      </w:r>
      <m:oMath>
        <m:r>
          <m:t>3.6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1.0–$1.3 billion in Q4 free cash flow**.</w:t>
      </w:r>
    </w:p>
    <w:p>
      <w:pPr>
        <w:pStyle w:val="BodyText"/>
      </w:pPr>
      <w:r>
        <w:t xml:space="preserve">Working capital deserves attention. At the end of Q3, receivables and inventories had both risen from fiscal year-end, while the company was preparing to finance significant acquisitions.</w:t>
      </w:r>
    </w:p>
    <w:bookmarkStart w:id="23" w:name="filtration-group"/>
    <w:p>
      <w:pPr>
        <w:pStyle w:val="Heading3"/>
      </w:pPr>
      <w:r>
        <w:t xml:space="preserve">Filtration Group</w:t>
      </w:r>
    </w:p>
    <w:p>
      <w:pPr>
        <w:pStyle w:val="FirstParagraph"/>
      </w:pPr>
      <w:r>
        <w:t xml:space="preserve">Parker agreed to acquire Filtration Group for</w:t>
      </w:r>
      <w:r>
        <w:t xml:space="preserve"> </w:t>
      </w:r>
      <w:r>
        <w:rPr>
          <w:b/>
          <w:bCs/>
        </w:rPr>
        <w:t xml:space="preserve">$9.25 billion</w:t>
      </w:r>
      <w:r>
        <w:t xml:space="preserve">. The target is expected to contribute about $2 billion of sales, carries a 23.5% adjusted EBITDA margin and generates approximately 85% of revenue from aftermarket products. Parker expects $220 million of annual cost synergies by the end of year three. The transaction was originally expected to close within six to twelve months of its November 11, 2025 announcement. (</w:t>
      </w:r>
      <w:hyperlink r:id="rId22">
        <w:r>
          <w:rPr>
            <w:rStyle w:val="Hyperlink"/>
          </w:rPr>
          <w:t xml:space="preserve">investors.parker.com</w:t>
        </w:r>
      </w:hyperlink>
      <w:r>
        <w:t xml:space="preserve">)</w:t>
      </w:r>
    </w:p>
    <w:p>
      <w:pPr>
        <w:pStyle w:val="BodyText"/>
      </w:pPr>
      <w:r>
        <w:t xml:space="preserve">The earnings call should provide an important regulatory and closing update. Investors will want clarity on:</w:t>
      </w:r>
    </w:p>
    <w:p>
      <w:pPr>
        <w:pStyle w:val="Compact"/>
        <w:numPr>
          <w:ilvl w:val="0"/>
          <w:numId w:val="1008"/>
        </w:numPr>
      </w:pPr>
      <w:r>
        <w:t xml:space="preserve">Whether closing is still expected by November 2026</w:t>
      </w:r>
    </w:p>
    <w:p>
      <w:pPr>
        <w:pStyle w:val="Compact"/>
        <w:numPr>
          <w:ilvl w:val="0"/>
          <w:numId w:val="1008"/>
        </w:numPr>
      </w:pPr>
      <w:r>
        <w:t xml:space="preserve">Initial synergy phasing</w:t>
      </w:r>
    </w:p>
    <w:p>
      <w:pPr>
        <w:pStyle w:val="Compact"/>
        <w:numPr>
          <w:ilvl w:val="0"/>
          <w:numId w:val="1008"/>
        </w:numPr>
      </w:pPr>
      <w:r>
        <w:t xml:space="preserve">Interest expense and leverage at closing</w:t>
      </w:r>
    </w:p>
    <w:p>
      <w:pPr>
        <w:pStyle w:val="Compact"/>
        <w:numPr>
          <w:ilvl w:val="0"/>
          <w:numId w:val="1008"/>
        </w:numPr>
      </w:pPr>
      <w:r>
        <w:t xml:space="preserve">The pace of post-close deleveraging</w:t>
      </w:r>
    </w:p>
    <w:p>
      <w:pPr>
        <w:pStyle w:val="Compact"/>
        <w:numPr>
          <w:ilvl w:val="0"/>
          <w:numId w:val="1008"/>
        </w:numPr>
      </w:pPr>
      <w:r>
        <w:t xml:space="preserve">Whether Filtration Group is included in FY27 guidance</w:t>
      </w:r>
    </w:p>
    <w:bookmarkEnd w:id="23"/>
    <w:bookmarkStart w:id="25" w:name="circor-aerospace"/>
    <w:p>
      <w:pPr>
        <w:pStyle w:val="Heading3"/>
      </w:pPr>
      <w:r>
        <w:t xml:space="preserve">CIRCOR Aerospace</w:t>
      </w:r>
    </w:p>
    <w:p>
      <w:pPr>
        <w:pStyle w:val="FirstParagraph"/>
      </w:pPr>
      <w:r>
        <w:t xml:space="preserve">In May, Parker announced a separate</w:t>
      </w:r>
      <w:r>
        <w:t xml:space="preserve"> </w:t>
      </w:r>
      <w:r>
        <w:rPr>
          <w:b/>
          <w:bCs/>
        </w:rPr>
        <w:t xml:space="preserve">$2.55 billion</w:t>
      </w:r>
      <w:r>
        <w:t xml:space="preserve"> </w:t>
      </w:r>
      <w:r>
        <w:t xml:space="preserve">acquisition of CIRCOR's aerospace business, expected to close in the second half of calendar 2026. The business is projected to generate approximately $270 million of 2026 sales with an adjusted EBITDA margin above 40%, before approximately $26 million of expected cost synergies. (</w:t>
      </w:r>
      <w:hyperlink r:id="rId24">
        <w:r>
          <w:rPr>
            <w:rStyle w:val="Hyperlink"/>
          </w:rPr>
          <w:t xml:space="preserve">investors.parker.com</w:t>
        </w:r>
      </w:hyperlink>
      <w:r>
        <w:t xml:space="preserve">)</w:t>
      </w:r>
    </w:p>
    <w:p>
      <w:pPr>
        <w:pStyle w:val="BodyText"/>
      </w:pPr>
      <w:r>
        <w:t xml:space="preserve">CIRCOR appears strategically attractive, but the timing creates the possibility that Parker will be closing or integrating two meaningful transactions in close succession. The combined purchase prices total approximately $11.8 billion, making cash generation, financing costs and execution discipline central to the investment case.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X3cf455be7d89db1432f57d7781b2915ef9965dc"/>
    <w:p>
      <w:pPr>
        <w:pStyle w:val="Heading2"/>
      </w:pPr>
      <w:r>
        <w:t xml:space="preserve">6. Valuation leaves limited room for an ordinary report</w:t>
      </w:r>
    </w:p>
    <w:p>
      <w:pPr>
        <w:pStyle w:val="FirstParagraph"/>
      </w:pPr>
      <w:r>
        <w:t xml:space="preserve">PH closed August 5 at approximately</w:t>
      </w:r>
      <w:r>
        <w:t xml:space="preserve"> </w:t>
      </w:r>
      <w:r>
        <w:rPr>
          <w:b/>
          <w:bCs/>
        </w:rPr>
        <w:t xml:space="preserve">$996.94</w:t>
      </w:r>
      <w:r>
        <w:t xml:space="preserve">. That represents roughly: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32x</w:t>
      </w:r>
      <w:r>
        <w:t xml:space="preserve"> </w:t>
      </w:r>
      <w:r>
        <w:t xml:space="preserve">Parker's FY26 adjusted EPS guidance of $31.20</w:t>
      </w:r>
    </w:p>
    <w:p>
      <w:pPr>
        <w:pStyle w:val="Compact"/>
        <w:numPr>
          <w:ilvl w:val="0"/>
          <w:numId w:val="1009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13% gain since the trading day after Q3 earnings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11.5% year-to-date appreciation</w:t>
      </w:r>
    </w:p>
    <w:p>
      <w:pPr>
        <w:pStyle w:val="FirstParagraph"/>
      </w:pPr>
      <w:r>
        <w:t xml:space="preserve">The stock has substantially outperformed the industrial ETF XLI since the last report. This suggests investors already expect another clean quarter and a constructive FY27 outlook.</w:t>
      </w:r>
    </w:p>
    <w:p>
      <w:pPr>
        <w:pStyle w:val="BodyText"/>
      </w:pPr>
      <w:r>
        <w:t xml:space="preserve">At this valuation, the market is paying for:</w:t>
      </w:r>
    </w:p>
    <w:p>
      <w:pPr>
        <w:pStyle w:val="Compact"/>
        <w:numPr>
          <w:ilvl w:val="0"/>
          <w:numId w:val="1010"/>
        </w:numPr>
      </w:pPr>
      <w:r>
        <w:t xml:space="preserve">Durable above-market organic growth</w:t>
      </w:r>
    </w:p>
    <w:p>
      <w:pPr>
        <w:pStyle w:val="Compact"/>
        <w:numPr>
          <w:ilvl w:val="0"/>
          <w:numId w:val="1010"/>
        </w:numPr>
      </w:pPr>
      <w:r>
        <w:t xml:space="preserve">Continued margin expansion</w:t>
      </w:r>
    </w:p>
    <w:p>
      <w:pPr>
        <w:pStyle w:val="Compact"/>
        <w:numPr>
          <w:ilvl w:val="0"/>
          <w:numId w:val="1010"/>
        </w:numPr>
      </w:pPr>
      <w:r>
        <w:t xml:space="preserve">Strong aerospace execution</w:t>
      </w:r>
    </w:p>
    <w:p>
      <w:pPr>
        <w:pStyle w:val="Compact"/>
        <w:numPr>
          <w:ilvl w:val="0"/>
          <w:numId w:val="1010"/>
        </w:numPr>
      </w:pPr>
      <w:r>
        <w:t xml:space="preserve">An eventual industrial acceleration</w:t>
      </w:r>
    </w:p>
    <w:p>
      <w:pPr>
        <w:pStyle w:val="Compact"/>
        <w:numPr>
          <w:ilvl w:val="0"/>
          <w:numId w:val="1010"/>
        </w:numPr>
      </w:pPr>
      <w:r>
        <w:t xml:space="preserve">Successful integration of Filtration Group and CIRCOR</w:t>
      </w:r>
    </w:p>
    <w:p>
      <w:pPr>
        <w:pStyle w:val="Compact"/>
        <w:numPr>
          <w:ilvl w:val="0"/>
          <w:numId w:val="1010"/>
        </w:numPr>
      </w:pPr>
      <w:r>
        <w:t xml:space="preserve">Rapid conversion of earnings into cash and deleveraging</w:t>
      </w:r>
    </w:p>
    <w:p>
      <w:pPr>
        <w:pStyle w:val="FirstParagraph"/>
      </w:pPr>
      <w:r>
        <w:t xml:space="preserve">That raises the risk that an in-line print followed by cautious guidance produces a negative reaction even if the underlying results remain healthy.</w:t>
      </w:r>
    </w:p>
    <w:p>
      <w:r>
        <w:pict>
          <v:rect style="width:0;height:1.5pt" o:hralign="center" o:hrstd="t" o:hr="t"/>
        </w:pict>
      </w:r>
    </w:p>
    <w:bookmarkEnd w:id="27"/>
    <w:bookmarkStart w:id="31" w:name="potential-reaction-framework"/>
    <w:p>
      <w:pPr>
        <w:pStyle w:val="Heading2"/>
      </w:pPr>
      <w:r>
        <w:t xml:space="preserve">Potential reaction framework</w:t>
      </w:r>
    </w:p>
    <w:bookmarkStart w:id="2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Revenue and adjusted EPS beat consensus</w:t>
      </w:r>
    </w:p>
    <w:p>
      <w:pPr>
        <w:pStyle w:val="Compact"/>
        <w:numPr>
          <w:ilvl w:val="0"/>
          <w:numId w:val="1011"/>
        </w:numPr>
      </w:pPr>
      <w:r>
        <w:t xml:space="preserve">Aerospace growth remains double-digit with margins near 30%</w:t>
      </w:r>
    </w:p>
    <w:p>
      <w:pPr>
        <w:pStyle w:val="Compact"/>
        <w:numPr>
          <w:ilvl w:val="0"/>
          <w:numId w:val="1011"/>
        </w:numPr>
      </w:pPr>
      <w:r>
        <w:t xml:space="preserve">Industrial orders stay above sales, but management signals faster FY27 conversion</w:t>
      </w:r>
    </w:p>
    <w:p>
      <w:pPr>
        <w:pStyle w:val="Compact"/>
        <w:numPr>
          <w:ilvl w:val="0"/>
          <w:numId w:val="1011"/>
        </w:numPr>
      </w:pPr>
      <w:r>
        <w:t xml:space="preserve">FY27 organic growth is mid-single-digit or better</w:t>
      </w:r>
    </w:p>
    <w:p>
      <w:pPr>
        <w:pStyle w:val="Compact"/>
        <w:numPr>
          <w:ilvl w:val="0"/>
          <w:numId w:val="1011"/>
        </w:numPr>
      </w:pPr>
      <w:r>
        <w:t xml:space="preserve">Adjusted margins expand again</w:t>
      </w:r>
    </w:p>
    <w:p>
      <w:pPr>
        <w:pStyle w:val="Compact"/>
        <w:numPr>
          <w:ilvl w:val="0"/>
          <w:numId w:val="1011"/>
        </w:numPr>
      </w:pPr>
      <w:r>
        <w:t xml:space="preserve">Filtration Group closing is on track, with credible synergy and deleveraging plans</w:t>
      </w:r>
    </w:p>
    <w:bookmarkEnd w:id="28"/>
    <w:bookmarkStart w:id="29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Q4 is around</w:t>
      </w:r>
      <w:r>
        <w:t xml:space="preserve"> </w:t>
      </w:r>
      <m:oMath>
        <m:r>
          <m:t>5.5</m:t>
        </m:r>
        <m:r>
          <m:rPr>
            <m:sty m:val="p"/>
          </m:rPr>
          <m:t>–</m:t>
        </m:r>
      </m:oMath>
      <w:r>
        <w:t xml:space="preserve">5.6 billion of revenue and</w:t>
      </w:r>
      <w:r>
        <w:t xml:space="preserve"> </w:t>
      </w:r>
      <m:oMath>
        <m:r>
          <m:t>8.15</m:t>
        </m:r>
        <m:r>
          <m:rPr>
            <m:sty m:val="p"/>
          </m:rPr>
          <m:t>–</m:t>
        </m:r>
      </m:oMath>
      <w:r>
        <w:t xml:space="preserve">8.30 of EPS</w:t>
      </w:r>
    </w:p>
    <w:p>
      <w:pPr>
        <w:pStyle w:val="Compact"/>
        <w:numPr>
          <w:ilvl w:val="0"/>
          <w:numId w:val="1012"/>
        </w:numPr>
      </w:pPr>
      <w:r>
        <w:t xml:space="preserve">Aerospace stays strong while industrial growth remains gradual</w:t>
      </w:r>
    </w:p>
    <w:p>
      <w:pPr>
        <w:pStyle w:val="Compact"/>
        <w:numPr>
          <w:ilvl w:val="0"/>
          <w:numId w:val="1012"/>
        </w:numPr>
      </w:pPr>
      <w:r>
        <w:t xml:space="preserve">FY27 guidance is constructive but conservative</w:t>
      </w:r>
    </w:p>
    <w:p>
      <w:pPr>
        <w:pStyle w:val="Compact"/>
        <w:numPr>
          <w:ilvl w:val="0"/>
          <w:numId w:val="1012"/>
        </w:numPr>
      </w:pPr>
      <w:r>
        <w:t xml:space="preserve">Management excludes pending acquisitions from the formal outlook</w:t>
      </w:r>
    </w:p>
    <w:p>
      <w:pPr>
        <w:pStyle w:val="Compact"/>
        <w:numPr>
          <w:ilvl w:val="0"/>
          <w:numId w:val="1012"/>
        </w:numPr>
      </w:pPr>
      <w:r>
        <w:t xml:space="preserve">Shares react primarily to the margin and organic-growth assumptions</w:t>
      </w:r>
    </w:p>
    <w:bookmarkEnd w:id="29"/>
    <w:bookmarkStart w:id="3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Industrial orders weaken or backlog conversion is pushed out</w:t>
      </w:r>
    </w:p>
    <w:p>
      <w:pPr>
        <w:pStyle w:val="Compact"/>
        <w:numPr>
          <w:ilvl w:val="0"/>
          <w:numId w:val="1013"/>
        </w:numPr>
      </w:pPr>
      <w:r>
        <w:t xml:space="preserve">Aerospace growth or aftermarket demand normalizes faster than expected</w:t>
      </w:r>
    </w:p>
    <w:p>
      <w:pPr>
        <w:pStyle w:val="Compact"/>
        <w:numPr>
          <w:ilvl w:val="0"/>
          <w:numId w:val="1013"/>
        </w:numPr>
      </w:pPr>
      <w:r>
        <w:t xml:space="preserve">Q4 margin falls short of 27.4%</w:t>
      </w:r>
    </w:p>
    <w:p>
      <w:pPr>
        <w:pStyle w:val="Compact"/>
        <w:numPr>
          <w:ilvl w:val="0"/>
          <w:numId w:val="1013"/>
        </w:numPr>
      </w:pPr>
      <w:r>
        <w:t xml:space="preserve">FY27 guidance points to low-single-digit organic growth or limited margin expansion</w:t>
      </w:r>
    </w:p>
    <w:p>
      <w:pPr>
        <w:pStyle w:val="Compact"/>
        <w:numPr>
          <w:ilvl w:val="0"/>
          <w:numId w:val="1013"/>
        </w:numPr>
      </w:pPr>
      <w:r>
        <w:t xml:space="preserve">Filtration Group closing is delayed</w:t>
      </w:r>
    </w:p>
    <w:p>
      <w:pPr>
        <w:pStyle w:val="Compact"/>
        <w:numPr>
          <w:ilvl w:val="0"/>
          <w:numId w:val="1013"/>
        </w:numPr>
      </w:pPr>
      <w:r>
        <w:t xml:space="preserve">Financing costs or leverage are higher than investors anticipated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Parker appears positioned to meet or modestly exceed its Q4 targets. The stronger investment debate is whether the company can carry its current combination of</w:t>
      </w:r>
      <w:r>
        <w:t xml:space="preserve"> </w:t>
      </w:r>
      <w:r>
        <w:rPr>
          <w:b/>
          <w:bCs/>
        </w:rPr>
        <w:t xml:space="preserve">mid-single-digit organic growth, approximately 27% adjusted margins and double-digit EPS growth</w:t>
      </w:r>
      <w:r>
        <w:t xml:space="preserve"> </w:t>
      </w:r>
      <w:r>
        <w:t xml:space="preserve">into fiscal 2027.</w:t>
      </w:r>
    </w:p>
    <w:p>
      <w:pPr>
        <w:pStyle w:val="BodyText"/>
      </w:pPr>
      <w:r>
        <w:t xml:space="preserve">The cleanest positive signal would be an initial FY27 outlook showing industrial acceleration without meaningful aerospace or margin deterioration. The main risk is that high expectations, a roughly 32x FY26 earnings multiple and two large pending acquisitions leave little tolerance for merely solid execution.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https://investors.parker.com/news-events/press-releases/detail/496/parker-to-acquire-filtration-group-corporation?utm_source=openai" TargetMode="External" /><Relationship Type="http://schemas.openxmlformats.org/officeDocument/2006/relationships/hyperlink" Id="rId12" Target="https://investors.parker.com/news-events/press-releases/detail/506/parker-reports-fiscal-2026-third-quarter-results?utm_source=openai" TargetMode="External" /><Relationship Type="http://schemas.openxmlformats.org/officeDocument/2006/relationships/hyperlink" Id="rId24" Target="https://investors.parker.com/news-events/press-releases/detail/507/parker-to-acquire-circors-commercial-and-defense?utm_source=openai" TargetMode="External" /><Relationship Type="http://schemas.openxmlformats.org/officeDocument/2006/relationships/hyperlink" Id="rId9" Target="https://investors.parker.com/news-events/press-releases/detail/508/parker-to-announce-fiscal-2026-fourth-quarter-and-full-year?utm_source=openai" TargetMode="External" /><Relationship Type="http://schemas.openxmlformats.org/officeDocument/2006/relationships/hyperlink" Id="rId11" Target="https://www.benzinga.com/quote/PH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investors.parker.com/news-events/press-releases/detail/496/parker-to-acquire-filtration-group-corporation?utm_source=openai" TargetMode="External" /><Relationship Type="http://schemas.openxmlformats.org/officeDocument/2006/relationships/hyperlink" Id="rId12" Target="https://investors.parker.com/news-events/press-releases/detail/506/parker-reports-fiscal-2026-third-quarter-results?utm_source=openai" TargetMode="External" /><Relationship Type="http://schemas.openxmlformats.org/officeDocument/2006/relationships/hyperlink" Id="rId24" Target="https://investors.parker.com/news-events/press-releases/detail/507/parker-to-acquire-circors-commercial-and-defense?utm_source=openai" TargetMode="External" /><Relationship Type="http://schemas.openxmlformats.org/officeDocument/2006/relationships/hyperlink" Id="rId9" Target="https://investors.parker.com/news-events/press-releases/detail/508/parker-to-announce-fiscal-2026-fourth-quarter-and-full-year?utm_source=openai" TargetMode="External" /><Relationship Type="http://schemas.openxmlformats.org/officeDocument/2006/relationships/hyperlink" Id="rId11" Target="https://www.benzinga.com/quote/PH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2026-08-06T00:44:09Z</dcterms:created>
  <dcterms:modified xsi:type="dcterms:W3CDTF">2026-08-06T00:44:09Z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