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6439c7e88f8155d446eb0453b3ca6022b9279c"/>
    <w:p>
      <w:pPr>
        <w:pStyle w:val="Heading1"/>
      </w:pPr>
      <w:r>
        <w:t xml:space="preserve">Parker Hannifin (NYSE: PH) — FY2026 Q4 Earnings Preview</w:t>
      </w:r>
    </w:p>
    <w:p>
      <w:pPr>
        <w:pStyle w:val="BlockText"/>
      </w:pPr>
      <w:r>
        <w:rPr>
          <w:b/>
          <w:bCs/>
        </w:rPr>
        <w:t xml:space="preserve">Date clarification:</w:t>
      </w:r>
      <w:r>
        <w:t xml:space="preserve"> </w:t>
      </w:r>
      <w:r>
        <w:t xml:space="preserve">Today is</w:t>
      </w:r>
      <w:r>
        <w:t xml:space="preserve"> </w:t>
      </w:r>
      <w:r>
        <w:rPr>
          <w:b/>
          <w:bCs/>
        </w:rPr>
        <w:t xml:space="preserve">Thursday, August 6, 2026</w:t>
      </w:r>
      <w:r>
        <w:t xml:space="preserve">. Therefore, the stated event date of</w:t>
      </w:r>
      <w:r>
        <w:t xml:space="preserve"> </w:t>
      </w:r>
      <w:r>
        <w:rPr>
          <w:b/>
          <w:bCs/>
        </w:rPr>
        <w:t xml:space="preserve">August 6, 2026 is today, not tomorrow</w:t>
      </w:r>
      <w:r>
        <w:t xml:space="preserve">. This preview assumes results have not yet been released and uses information available through the</w:t>
      </w:r>
      <w:r>
        <w:t xml:space="preserve"> </w:t>
      </w:r>
      <w:r>
        <w:rPr>
          <w:b/>
          <w:bCs/>
        </w:rPr>
        <w:t xml:space="preserve">August 5 market close</w:t>
      </w:r>
      <w:r>
        <w:t xml:space="preserve">.</w:t>
      </w:r>
    </w:p>
    <w:bookmarkStart w:id="9" w:name="X2c6498a137ffe8bc8aa844d36f05b1b5579aa12"/>
    <w:p>
      <w:pPr>
        <w:pStyle w:val="Heading2"/>
      </w:pPr>
      <w:r>
        <w:t xml:space="preserve">Investment view: a guide-and-orders report more than a “beat” report</w:t>
      </w:r>
    </w:p>
    <w:p>
      <w:pPr>
        <w:pStyle w:val="FirstParagraph"/>
      </w:pPr>
      <w:r>
        <w:t xml:space="preserve">Parker enters fiscal Q4 with a high-quality setup: management has already raised FY2026 guidance, Aerospace demand and backlog remain exceptionally strong, Industrial orders have stayed positive, and cash generation has supported both buybacks and a higher dividend.</w:t>
      </w:r>
    </w:p>
    <w:p>
      <w:pPr>
        <w:pStyle w:val="BodyText"/>
      </w:pPr>
      <w:r>
        <w:t xml:space="preserve">The core issue for investors is unlikely to be whether PH can deliver the quarter it guided. Instead, the stock’s reaction should hinge on: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FY2027 initial guidance</w:t>
      </w:r>
      <w:r>
        <w:t xml:space="preserve">—particularly organic growth, margin expansion, EPS, and free-cash-flow conversion;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durability and breadth of Industrial recovery</w:t>
      </w:r>
      <w:r>
        <w:t xml:space="preserve">, especially whether positive orders translate into faster revenue growth;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Aerospace order/backlog momentum</w:t>
      </w:r>
      <w:r>
        <w:t xml:space="preserve"> </w:t>
      </w:r>
      <w:r>
        <w:t xml:space="preserve">after several years of double-digit growth; 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Filtration Group transaction timing, financing, and integration expectations.</w:t>
      </w:r>
    </w:p>
    <w:p>
      <w:pPr>
        <w:pStyle w:val="FirstParagraph"/>
      </w:pPr>
      <w:r>
        <w:t xml:space="preserve">PH closed at</w:t>
      </w:r>
      <w:r>
        <w:t xml:space="preserve"> </w:t>
      </w:r>
      <w:r>
        <w:rPr>
          <w:b/>
          <w:bCs/>
        </w:rPr>
        <w:t xml:space="preserve">$996.94 on August 5</w:t>
      </w:r>
      <w:r>
        <w:t xml:space="preserve">, up roughly</w:t>
      </w:r>
      <w:r>
        <w:t xml:space="preserve"> </w:t>
      </w:r>
      <w:r>
        <w:rPr>
          <w:b/>
          <w:bCs/>
        </w:rPr>
        <w:t xml:space="preserve">11.5% year to date</w:t>
      </w:r>
      <w:r>
        <w:t xml:space="preserve"> </w:t>
      </w:r>
      <w:r>
        <w:t xml:space="preserve">and about</w:t>
      </w:r>
      <w:r>
        <w:t xml:space="preserve"> </w:t>
      </w:r>
      <w:r>
        <w:rPr>
          <w:b/>
          <w:bCs/>
        </w:rPr>
        <w:t xml:space="preserve">9.6% since the April 30 FY2026 Q3 report.</w:t>
      </w:r>
      <w:r>
        <w:t xml:space="preserve"> </w:t>
      </w:r>
      <w:r>
        <w:t xml:space="preserve">That appreciation suggests investors are already assigning value to a constructive FY2027 setup rather than simply underwriting a quarter in line with management’s Q4 targets.</w:t>
      </w:r>
    </w:p>
    <w:p>
      <w:r>
        <w:pict>
          <v:rect style="width:0;height:1.5pt" o:hralign="center" o:hrstd="t" o:hr="t"/>
        </w:pict>
      </w:r>
    </w:p>
    <w:bookmarkEnd w:id="9"/>
    <w:bookmarkStart w:id="10" w:name="Xd32c33e3874821b6aaafee30147c58989a30fac"/>
    <w:p>
      <w:pPr>
        <w:pStyle w:val="Heading2"/>
      </w:pPr>
      <w:r>
        <w:t xml:space="preserve">The setup: management’s Q4 guide is the key benchmark</w:t>
      </w:r>
    </w:p>
    <w:p>
      <w:pPr>
        <w:pStyle w:val="FirstParagraph"/>
      </w:pPr>
      <w:r>
        <w:t xml:space="preserve">At FY2026 Q3, Parker raised full-year expectations and provided specific Q4 targets: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FY2026 Q4 management outlook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FY2025 Q4 actual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YoY implication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Reported sales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Nearly</w:t>
            </w:r>
            <w:r>
              <w:t xml:space="preserve"> </w:t>
            </w:r>
            <w:r>
              <w:rPr>
                <w:b/>
                <w:bCs/>
              </w:rPr>
              <w:t xml:space="preserve">$5.5B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$5.24B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~5%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sales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</w:t>
            </w:r>
            <w:r>
              <w:rPr>
                <w:b/>
                <w:bCs/>
              </w:rPr>
              <w:t xml:space="preserve">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Acceleration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segment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27.4%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26.9%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Expansion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$8.16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$7.69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~6%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Effective tax rate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22%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Key EPS variable</w:t>
            </w:r>
          </w:p>
        </w:tc>
      </w:tr>
    </w:tbl>
    <w:p>
      <w:pPr>
        <w:pStyle w:val="BodyText"/>
      </w:pPr>
      <w:r>
        <w:t xml:space="preserve">The EPS guide implies roughly</w:t>
      </w:r>
      <w:r>
        <w:t xml:space="preserve"> </w:t>
      </w:r>
      <w:r>
        <w:rPr>
          <w:b/>
          <w:bCs/>
        </w:rPr>
        <w:t xml:space="preserve">6.1% year-over-year growth</w:t>
      </w:r>
      <w:r>
        <w:t xml:space="preserve">, while the nearly $5.5 billion sales target equates to about</w:t>
      </w:r>
      <w:r>
        <w:t xml:space="preserve"> </w:t>
      </w:r>
      <w:r>
        <w:rPr>
          <w:b/>
          <w:bCs/>
        </w:rPr>
        <w:t xml:space="preserve">4.9% growth</w:t>
      </w:r>
      <w:r>
        <w:t xml:space="preserve"> </w:t>
      </w:r>
      <w:r>
        <w:t xml:space="preserve">against the prior-year quarter.</w:t>
      </w:r>
    </w:p>
    <w:p>
      <w:pPr>
        <w:pStyle w:val="BodyText"/>
      </w:pPr>
      <w:r>
        <w:t xml:space="preserve">For the full fiscal year, management’s latest outlook calls for: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7% reported sales growth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5.5% organic sales growth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27.2% adjusted segment operating margin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$31.20 adjusted EPS</w:t>
      </w:r>
    </w:p>
    <w:p>
      <w:pPr>
        <w:pStyle w:val="Compact"/>
        <w:numPr>
          <w:ilvl w:val="0"/>
          <w:numId w:val="1002"/>
        </w:numPr>
      </w:pPr>
      <m:oMath>
        <m:r>
          <m:t>3.3</m:t>
        </m:r>
        <m:r>
          <m:t>B</m:t>
        </m:r>
        <m:r>
          <m:rPr>
            <m:sty m:val="p"/>
          </m:rPr>
          <m:t>–</m:t>
        </m:r>
      </m:oMath>
      <w:r>
        <w:rPr>
          <w:b/>
          <w:bCs/>
        </w:rPr>
        <w:t xml:space="preserve">3.6B of free cash flow</w:t>
      </w:r>
    </w:p>
    <w:p>
      <w:pPr>
        <w:pStyle w:val="FirstParagraph"/>
      </w:pPr>
      <w:r>
        <w:t xml:space="preserve">The FY2026 adjusted EPS target represents approximately</w:t>
      </w:r>
      <w:r>
        <w:t xml:space="preserve"> </w:t>
      </w:r>
      <w:r>
        <w:rPr>
          <w:b/>
          <w:bCs/>
        </w:rPr>
        <w:t xml:space="preserve">14.2% growth</w:t>
      </w:r>
      <w:r>
        <w:t xml:space="preserve"> </w:t>
      </w:r>
      <w:r>
        <w:t xml:space="preserve">from FY2025’s $27.33.</w:t>
      </w:r>
    </w:p>
    <w:p>
      <w:pPr>
        <w:pStyle w:val="BodyText"/>
      </w:pPr>
      <w:r>
        <w:rPr>
          <w:b/>
          <w:bCs/>
        </w:rPr>
        <w:t xml:space="preserve">Read-through:</w:t>
      </w:r>
      <w:r>
        <w:t xml:space="preserve"> </w:t>
      </w:r>
      <w:r>
        <w:t xml:space="preserve">A modest Q4 beat without stronger FY2027 commentary may not be enough. Conversely, a reiteration or improvement in the current Q4 framework, paired with a credible FY2027 growth-and-margin outlook, would reinforce the investment case.</w:t>
      </w:r>
    </w:p>
    <w:p>
      <w:r>
        <w:pict>
          <v:rect style="width:0;height:1.5pt" o:hralign="center" o:hrstd="t" o:hr="t"/>
        </w:pict>
      </w:r>
    </w:p>
    <w:bookmarkEnd w:id="10"/>
    <w:bookmarkStart w:id="15" w:name="what-matters-most-in-the-release"/>
    <w:p>
      <w:pPr>
        <w:pStyle w:val="Heading2"/>
      </w:pPr>
      <w:r>
        <w:t xml:space="preserve">What matters most in the release</w:t>
      </w:r>
    </w:p>
    <w:bookmarkStart w:id="11" w:name="X450d521f0ddc91096fd325ae497aaa76de59669"/>
    <w:p>
      <w:pPr>
        <w:pStyle w:val="Heading3"/>
      </w:pPr>
      <w:r>
        <w:t xml:space="preserve">1. Aerospace: watch bookings and backlog, not just revenue</w:t>
      </w:r>
    </w:p>
    <w:p>
      <w:pPr>
        <w:pStyle w:val="FirstParagraph"/>
      </w:pPr>
      <w:r>
        <w:t xml:space="preserve">Aerospace Systems remains PH’s principal growth engine. In Q3:</w:t>
      </w:r>
    </w:p>
    <w:p>
      <w:pPr>
        <w:pStyle w:val="Compact"/>
        <w:numPr>
          <w:ilvl w:val="0"/>
          <w:numId w:val="1003"/>
        </w:numPr>
      </w:pPr>
      <w:r>
        <w:t xml:space="preserve">Organic sales grew</w:t>
      </w:r>
      <w:r>
        <w:t xml:space="preserve"> </w:t>
      </w:r>
      <w:r>
        <w:rPr>
          <w:b/>
          <w:bCs/>
        </w:rPr>
        <w:t xml:space="preserve">14.2%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Adjusted segment margin reached</w:t>
      </w:r>
      <w:r>
        <w:t xml:space="preserve"> </w:t>
      </w:r>
      <w:r>
        <w:rPr>
          <w:b/>
          <w:bCs/>
        </w:rPr>
        <w:t xml:space="preserve">29.5%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Orders rose</w:t>
      </w:r>
      <w:r>
        <w:t xml:space="preserve"> </w:t>
      </w:r>
      <w:r>
        <w:rPr>
          <w:b/>
          <w:bCs/>
        </w:rPr>
        <w:t xml:space="preserve">14%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Aerospace backlog rose to a record</w:t>
      </w:r>
      <w:r>
        <w:t xml:space="preserve"> </w:t>
      </w:r>
      <w:r>
        <w:rPr>
          <w:b/>
          <w:bCs/>
        </w:rPr>
        <w:t xml:space="preserve">$8.4B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Commercial OEM sales grew</w:t>
      </w:r>
      <w:r>
        <w:t xml:space="preserve"> </w:t>
      </w:r>
      <w:r>
        <w:rPr>
          <w:b/>
          <w:bCs/>
        </w:rPr>
        <w:t xml:space="preserve">22%</w:t>
      </w:r>
      <w:r>
        <w:t xml:space="preserve"> </w:t>
      </w:r>
      <w:r>
        <w:t xml:space="preserve">and commercial aftermarket grew</w:t>
      </w:r>
      <w:r>
        <w:t xml:space="preserve"> </w:t>
      </w:r>
      <w:r>
        <w:rPr>
          <w:b/>
          <w:bCs/>
        </w:rPr>
        <w:t xml:space="preserve">14%</w:t>
      </w:r>
      <w:r>
        <w:t xml:space="preserve">.</w:t>
      </w:r>
    </w:p>
    <w:p>
      <w:pPr>
        <w:pStyle w:val="FirstParagraph"/>
      </w:pPr>
      <w:r>
        <w:t xml:space="preserve">For Q4, management had indicated approximately</w:t>
      </w:r>
      <w:r>
        <w:t xml:space="preserve"> </w:t>
      </w:r>
      <w:r>
        <w:rPr>
          <w:b/>
          <w:bCs/>
        </w:rPr>
        <w:t xml:space="preserve">9% Aerospace organic growth</w:t>
      </w:r>
      <w:r>
        <w:t xml:space="preserve">, with commercial OEM expected to remain the strongest component.</w:t>
      </w:r>
    </w:p>
    <w:p>
      <w:pPr>
        <w:pStyle w:val="BodyText"/>
      </w:pPr>
      <w:r>
        <w:t xml:space="preserve">The most important data points will be:</w:t>
      </w:r>
    </w:p>
    <w:p>
      <w:pPr>
        <w:pStyle w:val="Compact"/>
        <w:numPr>
          <w:ilvl w:val="0"/>
          <w:numId w:val="1004"/>
        </w:numPr>
      </w:pPr>
      <w:r>
        <w:t xml:space="preserve">Aerospace order growth versus the Q3</w:t>
      </w:r>
      <w:r>
        <w:t xml:space="preserve"> </w:t>
      </w:r>
      <w:r>
        <w:rPr>
          <w:b/>
          <w:bCs/>
        </w:rPr>
        <w:t xml:space="preserve">+14%</w:t>
      </w:r>
      <w:r>
        <w:t xml:space="preserve"> </w:t>
      </w:r>
      <w:r>
        <w:t xml:space="preserve">rate;</w:t>
      </w:r>
    </w:p>
    <w:p>
      <w:pPr>
        <w:pStyle w:val="Compact"/>
        <w:numPr>
          <w:ilvl w:val="0"/>
          <w:numId w:val="1004"/>
        </w:numPr>
      </w:pPr>
      <w:r>
        <w:t xml:space="preserve">Backlog growth and conversion;</w:t>
      </w:r>
    </w:p>
    <w:p>
      <w:pPr>
        <w:pStyle w:val="Compact"/>
        <w:numPr>
          <w:ilvl w:val="0"/>
          <w:numId w:val="1004"/>
        </w:numPr>
      </w:pPr>
      <w:r>
        <w:t xml:space="preserve">Commercial OEM versus aftermarket mix;</w:t>
      </w:r>
    </w:p>
    <w:p>
      <w:pPr>
        <w:pStyle w:val="Compact"/>
        <w:numPr>
          <w:ilvl w:val="0"/>
          <w:numId w:val="1004"/>
        </w:numPr>
      </w:pPr>
      <w:r>
        <w:t xml:space="preserve">Margin performance despite a higher OEM mix; and</w:t>
      </w:r>
    </w:p>
    <w:p>
      <w:pPr>
        <w:pStyle w:val="Compact"/>
        <w:numPr>
          <w:ilvl w:val="0"/>
          <w:numId w:val="1004"/>
        </w:numPr>
      </w:pPr>
      <w:r>
        <w:t xml:space="preserve">Defense OEM/MRO demand and production timing.</w:t>
      </w:r>
    </w:p>
    <w:p>
      <w:pPr>
        <w:pStyle w:val="FirstParagraph"/>
      </w:pPr>
      <w:r>
        <w:rPr>
          <w:b/>
          <w:bCs/>
        </w:rPr>
        <w:t xml:space="preserve">Bull case:</w:t>
      </w:r>
      <w:r>
        <w:t xml:space="preserve"> </w:t>
      </w:r>
      <w:r>
        <w:t xml:space="preserve">Aerospace orders remain double digit, backlog continues rising, and margins stay near the 29%–30% adjusted range.</w:t>
      </w:r>
    </w:p>
    <w:p>
      <w:pPr>
        <w:pStyle w:val="BodyText"/>
      </w:pPr>
      <w:r>
        <w:rPr>
          <w:b/>
          <w:bCs/>
        </w:rPr>
        <w:t xml:space="preserve">Risk case:</w:t>
      </w:r>
      <w:r>
        <w:t xml:space="preserve"> </w:t>
      </w:r>
      <w:r>
        <w:t xml:space="preserve">Growth moderates materially or margins soften due to mix, supply-chain costs, or operating inefficiency. A deceleration alone would not necessarily break the thesis, but it could limit enthusiasm after four consecutive years of expected double-digit Aerospace organic growth.</w:t>
      </w:r>
    </w:p>
    <w:p>
      <w:r>
        <w:pict>
          <v:rect style="width:0;height:1.5pt" o:hralign="center" o:hrstd="t" o:hr="t"/>
        </w:pict>
      </w:r>
    </w:p>
    <w:bookmarkEnd w:id="11"/>
    <w:bookmarkStart w:id="12" w:name="Xe753fcbcafee73507604fd444cefab997546697"/>
    <w:p>
      <w:pPr>
        <w:pStyle w:val="Heading3"/>
      </w:pPr>
      <w:r>
        <w:t xml:space="preserve">2. Industrial recovery: orders need to become revenue</w:t>
      </w:r>
    </w:p>
    <w:p>
      <w:pPr>
        <w:pStyle w:val="FirstParagraph"/>
      </w:pPr>
      <w:r>
        <w:t xml:space="preserve">Diversified Industrial is the key swing factor for FY2027. Q3 Industrial organic growth was positive but modest at</w:t>
      </w:r>
      <w:r>
        <w:t xml:space="preserve"> </w:t>
      </w:r>
      <w:r>
        <w:rPr>
          <w:b/>
          <w:bCs/>
        </w:rPr>
        <w:t xml:space="preserve">3.0%</w:t>
      </w:r>
      <w:r>
        <w:t xml:space="preserve">, while orders were stronger:</w:t>
      </w:r>
    </w:p>
    <w:p>
      <w:pPr>
        <w:pStyle w:val="Compact"/>
        <w:numPr>
          <w:ilvl w:val="0"/>
          <w:numId w:val="1005"/>
        </w:numPr>
      </w:pPr>
      <w:r>
        <w:t xml:space="preserve">North America orders:</w:t>
      </w:r>
      <w:r>
        <w:t xml:space="preserve"> </w:t>
      </w:r>
      <w:r>
        <w:rPr>
          <w:b/>
          <w:bCs/>
        </w:rPr>
        <w:t xml:space="preserve">+7%</w:t>
      </w:r>
    </w:p>
    <w:p>
      <w:pPr>
        <w:pStyle w:val="Compact"/>
        <w:numPr>
          <w:ilvl w:val="0"/>
          <w:numId w:val="1005"/>
        </w:numPr>
      </w:pPr>
      <w:r>
        <w:t xml:space="preserve">International orders:</w:t>
      </w:r>
      <w:r>
        <w:t xml:space="preserve"> </w:t>
      </w:r>
      <w:r>
        <w:rPr>
          <w:b/>
          <w:bCs/>
        </w:rPr>
        <w:t xml:space="preserve">+6%</w:t>
      </w:r>
    </w:p>
    <w:p>
      <w:pPr>
        <w:pStyle w:val="Compact"/>
        <w:numPr>
          <w:ilvl w:val="0"/>
          <w:numId w:val="1005"/>
        </w:numPr>
      </w:pPr>
      <w:r>
        <w:t xml:space="preserve">Total Industrial backlog: approximately</w:t>
      </w:r>
      <w:r>
        <w:t xml:space="preserve"> </w:t>
      </w:r>
      <w:r>
        <w:rPr>
          <w:b/>
          <w:bCs/>
        </w:rPr>
        <w:t xml:space="preserve">$4.1B</w:t>
      </w:r>
    </w:p>
    <w:p>
      <w:pPr>
        <w:pStyle w:val="FirstParagraph"/>
      </w:pPr>
      <w:r>
        <w:t xml:space="preserve">Management characterized the recovery as increasingly broad based across both short- and long-cycle markets. Strength has been evident in construction, heavy-duty truck, electronics/semiconductors, power generation, energy and selected defense-related demand.</w:t>
      </w:r>
    </w:p>
    <w:p>
      <w:pPr>
        <w:pStyle w:val="BodyText"/>
      </w:pPr>
      <w:r>
        <w:t xml:space="preserve">However, the quality of that growth matters. In Q3, stronger OEM exposure—particularly in transportation and off-highway—created a less favorable mix than distribution. Distributor inventories were described as stable and ordering to end demand rather than restocking.</w:t>
      </w:r>
    </w:p>
    <w:p>
      <w:pPr>
        <w:pStyle w:val="BodyText"/>
      </w:pPr>
      <w:r>
        <w:rPr>
          <w:b/>
          <w:bCs/>
        </w:rPr>
        <w:t xml:space="preserve">Investor focus for Q4 and FY2027:</w:t>
      </w:r>
    </w:p>
    <w:p>
      <w:pPr>
        <w:pStyle w:val="Compact"/>
        <w:numPr>
          <w:ilvl w:val="0"/>
          <w:numId w:val="1006"/>
        </w:numPr>
      </w:pPr>
      <w:r>
        <w:t xml:space="preserve">Does Industrial organic growth accelerate beyond low single digits?</w:t>
      </w:r>
    </w:p>
    <w:p>
      <w:pPr>
        <w:pStyle w:val="Compact"/>
        <w:numPr>
          <w:ilvl w:val="0"/>
          <w:numId w:val="1006"/>
        </w:numPr>
      </w:pPr>
      <w:r>
        <w:t xml:space="preserve">Are distribution channels beginning to restock, or is demand still largely OEM-led?</w:t>
      </w:r>
    </w:p>
    <w:p>
      <w:pPr>
        <w:pStyle w:val="Compact"/>
        <w:numPr>
          <w:ilvl w:val="0"/>
          <w:numId w:val="1006"/>
        </w:numPr>
      </w:pPr>
      <w:r>
        <w:t xml:space="preserve">Can North America and International sustain mid-single-digit order growth?</w:t>
      </w:r>
    </w:p>
    <w:p>
      <w:pPr>
        <w:pStyle w:val="Compact"/>
        <w:numPr>
          <w:ilvl w:val="0"/>
          <w:numId w:val="1006"/>
        </w:numPr>
      </w:pPr>
      <w:r>
        <w:t xml:space="preserve">Does PH maintain margin expansion while mix shifts toward lower-margin OEM businesses?</w:t>
      </w:r>
    </w:p>
    <w:p>
      <w:pPr>
        <w:pStyle w:val="FirstParagraph"/>
      </w:pPr>
      <w:r>
        <w:t xml:space="preserve">A clearer conversion of orders and backlog into Industrial sales would materially strengthen the FY2027 earnings outlook.</w:t>
      </w:r>
    </w:p>
    <w:p>
      <w:r>
        <w:pict>
          <v:rect style="width:0;height:1.5pt" o:hralign="center" o:hrstd="t" o:hr="t"/>
        </w:pict>
      </w:r>
    </w:p>
    <w:bookmarkEnd w:id="12"/>
    <w:bookmarkStart w:id="13" w:name="Xf653c30959e215c7ffc331f5196c0d196165038"/>
    <w:p>
      <w:pPr>
        <w:pStyle w:val="Heading3"/>
      </w:pPr>
      <w:r>
        <w:t xml:space="preserve">3. Margins: the company has set a high bar</w:t>
      </w:r>
    </w:p>
    <w:p>
      <w:pPr>
        <w:pStyle w:val="FirstParagraph"/>
      </w:pPr>
      <w:r>
        <w:t xml:space="preserve">Parker’s operating model remains a major differentiator. Q3 adjusted segment operating margin was</w:t>
      </w:r>
      <w:r>
        <w:t xml:space="preserve"> </w:t>
      </w:r>
      <w:r>
        <w:rPr>
          <w:b/>
          <w:bCs/>
        </w:rPr>
        <w:t xml:space="preserve">26.7%</w:t>
      </w:r>
      <w:r>
        <w:t xml:space="preserve">, up 40 basis points year over year, with every major business reporting record or near-record profitability.</w:t>
      </w:r>
    </w:p>
    <w:p>
      <w:pPr>
        <w:pStyle w:val="BodyText"/>
      </w:pPr>
      <w:r>
        <w:t xml:space="preserve">The Q4 guide of</w:t>
      </w:r>
      <w:r>
        <w:t xml:space="preserve"> </w:t>
      </w:r>
      <w:r>
        <w:rPr>
          <w:b/>
          <w:bCs/>
        </w:rPr>
        <w:t xml:space="preserve">27.4%</w:t>
      </w:r>
      <w:r>
        <w:t xml:space="preserve"> </w:t>
      </w:r>
      <w:r>
        <w:t xml:space="preserve">adjusted segment margin is demanding, particularly given:</w:t>
      </w:r>
    </w:p>
    <w:p>
      <w:pPr>
        <w:pStyle w:val="Compact"/>
        <w:numPr>
          <w:ilvl w:val="0"/>
          <w:numId w:val="1007"/>
        </w:numPr>
      </w:pPr>
      <w:r>
        <w:t xml:space="preserve">The higher OEM mix in portions of Industrial;</w:t>
      </w:r>
    </w:p>
    <w:p>
      <w:pPr>
        <w:pStyle w:val="Compact"/>
        <w:numPr>
          <w:ilvl w:val="0"/>
          <w:numId w:val="1007"/>
        </w:numPr>
      </w:pPr>
      <w:r>
        <w:t xml:space="preserve">Ongoing acquisition and integration expenses;</w:t>
      </w:r>
    </w:p>
    <w:p>
      <w:pPr>
        <w:pStyle w:val="Compact"/>
        <w:numPr>
          <w:ilvl w:val="0"/>
          <w:numId w:val="1007"/>
        </w:numPr>
      </w:pPr>
      <w:r>
        <w:t xml:space="preserve">A generally normalizing price environment in distribution; and</w:t>
      </w:r>
    </w:p>
    <w:p>
      <w:pPr>
        <w:pStyle w:val="Compact"/>
        <w:numPr>
          <w:ilvl w:val="0"/>
          <w:numId w:val="1007"/>
        </w:numPr>
      </w:pPr>
      <w:r>
        <w:t xml:space="preserve">Tariff and input-cost uncertainty.</w:t>
      </w:r>
    </w:p>
    <w:p>
      <w:pPr>
        <w:pStyle w:val="FirstParagraph"/>
      </w:pPr>
      <w:r>
        <w:t xml:space="preserve">PH’s ability to expand margins even as sales growth becomes more balanced between Aerospace and Industrial is central to the long-term thesis. Management has historically targeted 30%–35% incremental margins, but the market will be looking for evidence that this remains achievable as volume growth broadens.</w:t>
      </w:r>
    </w:p>
    <w:p>
      <w:r>
        <w:pict>
          <v:rect style="width:0;height:1.5pt" o:hralign="center" o:hrstd="t" o:hr="t"/>
        </w:pict>
      </w:r>
    </w:p>
    <w:bookmarkEnd w:id="13"/>
    <w:bookmarkStart w:id="14" w:name="X888530d3b13532cbb9426283c7b32eb284d0f1e"/>
    <w:p>
      <w:pPr>
        <w:pStyle w:val="Heading3"/>
      </w:pPr>
      <w:r>
        <w:t xml:space="preserve">4. Cash flow and capital allocation: strong, but M&amp;A changes the equation</w:t>
      </w:r>
    </w:p>
    <w:p>
      <w:pPr>
        <w:pStyle w:val="FirstParagraph"/>
      </w:pPr>
      <w:r>
        <w:t xml:space="preserve">Through the first nine months of FY2026, Parker generated: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$2.63B</w:t>
      </w:r>
      <w:r>
        <w:t xml:space="preserve"> </w:t>
      </w:r>
      <w:r>
        <w:t xml:space="preserve">of operating cash flow, or</w:t>
      </w:r>
      <w:r>
        <w:t xml:space="preserve"> </w:t>
      </w:r>
      <w:r>
        <w:rPr>
          <w:b/>
          <w:bCs/>
        </w:rPr>
        <w:t xml:space="preserve">16.7% of sales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t xml:space="preserve">About</w:t>
      </w:r>
      <w:r>
        <w:t xml:space="preserve"> </w:t>
      </w:r>
      <w:r>
        <w:rPr>
          <w:b/>
          <w:bCs/>
        </w:rPr>
        <w:t xml:space="preserve">$2.3B</w:t>
      </w:r>
      <w:r>
        <w:t xml:space="preserve"> </w:t>
      </w:r>
      <w:r>
        <w:t xml:space="preserve">of free cash flow;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$825M</w:t>
      </w:r>
      <w:r>
        <w:t xml:space="preserve"> </w:t>
      </w:r>
      <w:r>
        <w:t xml:space="preserve">of share repurchases; and</w:t>
      </w:r>
    </w:p>
    <w:p>
      <w:pPr>
        <w:pStyle w:val="Compact"/>
        <w:numPr>
          <w:ilvl w:val="0"/>
          <w:numId w:val="1008"/>
        </w:numPr>
      </w:pPr>
      <w:r>
        <w:t xml:space="preserve">An 11% increase in the quarterly dividend to</w:t>
      </w:r>
      <w:r>
        <w:t xml:space="preserve"> </w:t>
      </w:r>
      <w:r>
        <w:rPr>
          <w:b/>
          <w:bCs/>
        </w:rPr>
        <w:t xml:space="preserve">$2.00 per share</w:t>
      </w:r>
      <w:r>
        <w:t xml:space="preserve">.</w:t>
      </w:r>
    </w:p>
    <w:p>
      <w:pPr>
        <w:pStyle w:val="FirstParagraph"/>
      </w:pPr>
      <w:r>
        <w:t xml:space="preserve">The immediate question is how capital allocation evolves with the pending</w:t>
      </w:r>
      <w:r>
        <w:t xml:space="preserve"> </w:t>
      </w:r>
      <m:oMath>
        <m:r>
          <m:t>9.25</m:t>
        </m:r>
        <m:r>
          <m:t>B</m:t>
        </m:r>
        <m:r>
          <m:t>a</m:t>
        </m:r>
        <m:r>
          <m:t>c</m:t>
        </m:r>
        <m:r>
          <m:t>q</m:t>
        </m:r>
        <m:r>
          <m:t>u</m:t>
        </m:r>
        <m:r>
          <m:t>i</m:t>
        </m:r>
        <m:r>
          <m:t>s</m:t>
        </m:r>
        <m:r>
          <m:t>i</m:t>
        </m:r>
        <m:r>
          <m:t>t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F</m:t>
        </m:r>
        <m:r>
          <m:t>i</m:t>
        </m:r>
        <m:r>
          <m:t>l</m:t>
        </m:r>
        <m:r>
          <m:t>t</m:t>
        </m:r>
        <m:r>
          <m:t>r</m:t>
        </m:r>
        <m:r>
          <m:t>a</m:t>
        </m:r>
        <m:r>
          <m:t>t</m:t>
        </m:r>
        <m:r>
          <m:t>i</m:t>
        </m:r>
        <m:r>
          <m:t>o</m:t>
        </m:r>
        <m:r>
          <m:t>n</m:t>
        </m:r>
        <m:r>
          <m:t>G</m:t>
        </m:r>
        <m:r>
          <m:t>r</m:t>
        </m:r>
        <m:r>
          <m:t>o</m:t>
        </m:r>
        <m:r>
          <m:t>u</m:t>
        </m:r>
        <m:r>
          <m:t>p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t</m:t>
        </m:r>
        <m:r>
          <m:t>r</m:t>
        </m:r>
        <m:r>
          <m:t>a</m:t>
        </m:r>
        <m:r>
          <m:t>n</m:t>
        </m:r>
        <m:r>
          <m:t>s</m:t>
        </m:r>
        <m:r>
          <m:t>a</m:t>
        </m:r>
        <m:r>
          <m:t>c</m:t>
        </m:r>
        <m:r>
          <m:t>t</m:t>
        </m:r>
        <m:r>
          <m:t>i</m:t>
        </m:r>
        <m:r>
          <m:t>o</m:t>
        </m:r>
        <m:r>
          <m:t>n</m:t>
        </m:r>
        <m:r>
          <m:t>i</m:t>
        </m:r>
        <m:r>
          <m:t>s</m:t>
        </m:r>
        <m:r>
          <m:t>e</m:t>
        </m:r>
        <m:r>
          <m:t>x</m:t>
        </m:r>
        <m:r>
          <m:t>p</m:t>
        </m:r>
        <m:r>
          <m:t>e</m:t>
        </m:r>
        <m:r>
          <m:t>c</m:t>
        </m:r>
        <m:r>
          <m:t>t</m:t>
        </m:r>
        <m:r>
          <m:t>e</m:t>
        </m:r>
        <m:r>
          <m:t>d</m:t>
        </m:r>
        <m:r>
          <m:t>t</m:t>
        </m:r>
        <m:r>
          <m:t>o</m:t>
        </m:r>
        <m:r>
          <m:t>c</m:t>
        </m:r>
        <m:r>
          <m:t>l</m:t>
        </m:r>
        <m:r>
          <m:t>o</m:t>
        </m:r>
        <m:r>
          <m:t>s</m:t>
        </m:r>
        <m:r>
          <m:t>e</m:t>
        </m:r>
        <m:r>
          <m:t>w</m:t>
        </m:r>
        <m:r>
          <m:t>i</m:t>
        </m:r>
        <m:r>
          <m:t>t</m:t>
        </m:r>
        <m:r>
          <m:t>h</m:t>
        </m:r>
        <m:r>
          <m:t>i</m:t>
        </m:r>
        <m:r>
          <m:t>n</m:t>
        </m:r>
        <m:r>
          <m:t>12</m:t>
        </m:r>
        <m:r>
          <m:t>m</m:t>
        </m:r>
        <m:r>
          <m:t>o</m:t>
        </m:r>
        <m:r>
          <m:t>n</m:t>
        </m:r>
        <m:r>
          <m:t>t</m:t>
        </m:r>
        <m:r>
          <m:t>h</m:t>
        </m:r>
        <m:r>
          <m:t>s</m:t>
        </m:r>
        <m:r>
          <m:t>o</m:t>
        </m:r>
        <m:r>
          <m:t>f</m:t>
        </m:r>
        <m:r>
          <m:t>i</m:t>
        </m:r>
        <m:r>
          <m:t>t</m:t>
        </m:r>
        <m:r>
          <m:t>s</m:t>
        </m:r>
        <m:r>
          <m:t>N</m:t>
        </m:r>
        <m:r>
          <m:t>o</m:t>
        </m:r>
        <m:r>
          <m:t>v</m:t>
        </m:r>
        <m:r>
          <m:t>e</m:t>
        </m:r>
        <m:r>
          <m:t>m</m:t>
        </m:r>
        <m:r>
          <m:t>b</m:t>
        </m:r>
        <m:r>
          <m:t>e</m:t>
        </m:r>
        <m:r>
          <m:t>r</m:t>
        </m:r>
        <m:r>
          <m:t>11</m:t>
        </m:r>
        <m:r>
          <m:rPr>
            <m:sty m:val="p"/>
          </m:rPr>
          <m:t>,</m:t>
        </m:r>
        <m:r>
          <m:t>2025</m:t>
        </m:r>
        <m:r>
          <m:t>a</m:t>
        </m:r>
        <m:r>
          <m:t>n</m:t>
        </m:r>
        <m:r>
          <m:t>n</m:t>
        </m:r>
        <m:r>
          <m:t>o</m:t>
        </m:r>
        <m:r>
          <m:t>u</m:t>
        </m:r>
        <m:r>
          <m:t>n</m:t>
        </m:r>
        <m:r>
          <m:t>c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rPr>
            <m:sty m:val="p"/>
          </m:rPr>
          <m:t>,</m:t>
        </m:r>
        <m:r>
          <m:t>s</m:t>
        </m:r>
        <m:r>
          <m:t>u</m:t>
        </m:r>
        <m:r>
          <m:t>b</m:t>
        </m:r>
        <m:r>
          <m:t>j</m:t>
        </m:r>
        <m:r>
          <m:t>e</m:t>
        </m:r>
        <m:r>
          <m:t>c</m:t>
        </m:r>
        <m:r>
          <m:t>t</m:t>
        </m:r>
        <m:r>
          <m:t>t</m:t>
        </m:r>
        <m:r>
          <m:t>o</m:t>
        </m:r>
        <m:r>
          <m:t>r</m:t>
        </m:r>
        <m:r>
          <m:t>e</m:t>
        </m:r>
        <m:r>
          <m:t>g</m:t>
        </m:r>
        <m:r>
          <m:t>u</m:t>
        </m:r>
        <m:r>
          <m:t>l</m:t>
        </m:r>
        <m:r>
          <m:t>a</m:t>
        </m:r>
        <m:r>
          <m:t>t</m:t>
        </m:r>
        <m:r>
          <m:t>o</m:t>
        </m:r>
        <m:r>
          <m:t>r</m:t>
        </m:r>
        <m:r>
          <m:t>y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v</m:t>
        </m:r>
        <m:r>
          <m:t>a</m:t>
        </m:r>
        <m:r>
          <m:t>l</m:t>
        </m:r>
        <m:r>
          <m:t>s</m:t>
        </m:r>
        <m:r>
          <m:t>a</m:t>
        </m:r>
        <m:r>
          <m:t>n</m:t>
        </m:r>
        <m:r>
          <m:t>d</m:t>
        </m:r>
        <m:r>
          <m:t>c</m:t>
        </m:r>
        <m:r>
          <m:t>u</m:t>
        </m:r>
        <m:r>
          <m:t>s</m:t>
        </m:r>
        <m:r>
          <m:t>t</m:t>
        </m:r>
        <m:r>
          <m:t>o</m:t>
        </m:r>
        <m:r>
          <m:t>m</m:t>
        </m:r>
        <m:r>
          <m:t>a</m:t>
        </m:r>
        <m:r>
          <m:t>r</m:t>
        </m:r>
        <m:r>
          <m:t>y</m:t>
        </m:r>
        <m:r>
          <m:t>c</m:t>
        </m:r>
        <m:r>
          <m:t>o</m:t>
        </m:r>
        <m:r>
          <m:t>n</m:t>
        </m:r>
        <m:r>
          <m:t>d</m:t>
        </m:r>
        <m:r>
          <m:t>i</m:t>
        </m:r>
        <m:r>
          <m:t>t</m:t>
        </m:r>
        <m:r>
          <m:t>i</m:t>
        </m:r>
        <m:r>
          <m:t>o</m:t>
        </m:r>
        <m:r>
          <m:t>n</m:t>
        </m:r>
        <m:r>
          <m:t>s</m:t>
        </m:r>
        <m:r>
          <m:rPr>
            <m:sty m:val="p"/>
          </m:rPr>
          <m:t>.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h</m:t>
        </m:r>
        <m:r>
          <m:t>a</m:t>
        </m:r>
        <m:r>
          <m:t>s</m:t>
        </m:r>
        <m:r>
          <m:t>c</m:t>
        </m:r>
        <m:r>
          <m:t>i</m:t>
        </m:r>
        <m:r>
          <m:t>t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220M of run-rate synergies by the end of year three</w:t>
      </w:r>
      <w:r>
        <w:t xml:space="preserve">.</w:t>
      </w:r>
    </w:p>
    <w:p>
      <w:pPr>
        <w:pStyle w:val="BodyText"/>
      </w:pPr>
      <w:r>
        <w:t xml:space="preserve">Items to watch:</w:t>
      </w:r>
    </w:p>
    <w:p>
      <w:pPr>
        <w:pStyle w:val="Compact"/>
        <w:numPr>
          <w:ilvl w:val="0"/>
          <w:numId w:val="1009"/>
        </w:numPr>
      </w:pPr>
      <w:r>
        <w:t xml:space="preserve">Any update on regulatory approvals and closing timing;</w:t>
      </w:r>
    </w:p>
    <w:p>
      <w:pPr>
        <w:pStyle w:val="Compact"/>
        <w:numPr>
          <w:ilvl w:val="0"/>
          <w:numId w:val="1009"/>
        </w:numPr>
      </w:pPr>
      <w:r>
        <w:t xml:space="preserve">Expected leverage at close and pace of deleveraging;</w:t>
      </w:r>
    </w:p>
    <w:p>
      <w:pPr>
        <w:pStyle w:val="Compact"/>
        <w:numPr>
          <w:ilvl w:val="0"/>
          <w:numId w:val="1009"/>
        </w:numPr>
      </w:pPr>
      <w:r>
        <w:t xml:space="preserve">The expected FY2027 earnings and cash-flow impact;</w:t>
      </w:r>
    </w:p>
    <w:p>
      <w:pPr>
        <w:pStyle w:val="Compact"/>
        <w:numPr>
          <w:ilvl w:val="0"/>
          <w:numId w:val="1009"/>
        </w:numPr>
      </w:pPr>
      <w:r>
        <w:t xml:space="preserve">Whether buybacks are moderated following closing; and</w:t>
      </w:r>
    </w:p>
    <w:p>
      <w:pPr>
        <w:pStyle w:val="Compact"/>
        <w:numPr>
          <w:ilvl w:val="0"/>
          <w:numId w:val="1009"/>
        </w:numPr>
      </w:pPr>
      <w:r>
        <w:t xml:space="preserve">Integration priorities and synergy phasing.</w:t>
      </w:r>
    </w:p>
    <w:p>
      <w:pPr>
        <w:pStyle w:val="FirstParagraph"/>
      </w:pPr>
      <w:r>
        <w:t xml:space="preserve">The deal is strategically consistent with PH’s filtration, HVAC/refrigeration, life-sciences and industrial portfolios, but it raises the importance of execution and deleveraging discipline.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6" w:name="fy2027-the-reports-real-catalyst"/>
    <w:p>
      <w:pPr>
        <w:pStyle w:val="Heading2"/>
      </w:pPr>
      <w:r>
        <w:t xml:space="preserve">FY2027: the report’s real catalyst</w:t>
      </w:r>
    </w:p>
    <w:p>
      <w:pPr>
        <w:pStyle w:val="FirstParagraph"/>
      </w:pPr>
      <w:r>
        <w:t xml:space="preserve">PH’s FY2026 outlook already embeds a strong finish. The more consequential question is whether the company can establish a similarly attractive FY2027 baseline.</w:t>
      </w:r>
    </w:p>
    <w:p>
      <w:pPr>
        <w:pStyle w:val="BodyText"/>
      </w:pPr>
      <w:r>
        <w:t xml:space="preserve">A constructive FY2027 framework would likely include:</w:t>
      </w:r>
    </w:p>
    <w:p>
      <w:pPr>
        <w:pStyle w:val="Compact"/>
        <w:numPr>
          <w:ilvl w:val="0"/>
          <w:numId w:val="1010"/>
        </w:numPr>
      </w:pPr>
      <w:r>
        <w:t xml:space="preserve">Continued Aerospace organic growth, even if below FY2026’s double-digit pace;</w:t>
      </w:r>
    </w:p>
    <w:p>
      <w:pPr>
        <w:pStyle w:val="Compact"/>
        <w:numPr>
          <w:ilvl w:val="0"/>
          <w:numId w:val="1010"/>
        </w:numPr>
      </w:pPr>
      <w:r>
        <w:t xml:space="preserve">An acceleration in Industrial organic growth as backlog converts and the cycle broadens;</w:t>
      </w:r>
    </w:p>
    <w:p>
      <w:pPr>
        <w:pStyle w:val="Compact"/>
        <w:numPr>
          <w:ilvl w:val="0"/>
          <w:numId w:val="1010"/>
        </w:numPr>
      </w:pPr>
      <w:r>
        <w:t xml:space="preserve">Further adjusted margin expansion;</w:t>
      </w:r>
    </w:p>
    <w:p>
      <w:pPr>
        <w:pStyle w:val="Compact"/>
        <w:numPr>
          <w:ilvl w:val="0"/>
          <w:numId w:val="1010"/>
        </w:numPr>
      </w:pPr>
      <w:r>
        <w:t xml:space="preserve">Continued strong free-cash-flow conversion;</w:t>
      </w:r>
    </w:p>
    <w:p>
      <w:pPr>
        <w:pStyle w:val="Compact"/>
        <w:numPr>
          <w:ilvl w:val="0"/>
          <w:numId w:val="1010"/>
        </w:numPr>
      </w:pPr>
      <w:r>
        <w:t xml:space="preserve">A manageable financing/deleveraging plan around Filtration Group; and</w:t>
      </w:r>
    </w:p>
    <w:p>
      <w:pPr>
        <w:pStyle w:val="Compact"/>
        <w:numPr>
          <w:ilvl w:val="0"/>
          <w:numId w:val="1010"/>
        </w:numPr>
      </w:pPr>
      <w:r>
        <w:t xml:space="preserve">Clear separation between underlying performance and acquisition-related contributions.</w:t>
      </w:r>
    </w:p>
    <w:p>
      <w:pPr>
        <w:pStyle w:val="FirstParagraph"/>
      </w:pPr>
      <w:r>
        <w:t xml:space="preserve">Management has repeatedly expressed confidence in the FY2027 setup, citing positive Industrial orders, record backlog, improving long-cycle activity, and the addition of Filtration Group. The hurdle is that much of this optimism is likely reflected in investor expectations.</w:t>
      </w:r>
    </w:p>
    <w:p>
      <w:r>
        <w:pict>
          <v:rect style="width:0;height:1.5pt" o:hralign="center" o:hrstd="t" o:hr="t"/>
        </w:pict>
      </w:r>
    </w:p>
    <w:bookmarkEnd w:id="16"/>
    <w:bookmarkStart w:id="17" w:name="key-upside-catalysts"/>
    <w:p>
      <w:pPr>
        <w:pStyle w:val="Heading2"/>
      </w:pPr>
      <w:r>
        <w:t xml:space="preserve">Key upside catalysts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FY2027 organic growth guide above current expectations</w:t>
      </w:r>
      <w:r>
        <w:t xml:space="preserve">, driven by Industrial conversion and sustained Aerospace strength.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Continued double-digit Aerospace orders</w:t>
      </w:r>
      <w:r>
        <w:t xml:space="preserve"> </w:t>
      </w:r>
      <w:r>
        <w:t xml:space="preserve">and additional record backlog.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Industrial revenue acceleration</w:t>
      </w:r>
      <w:r>
        <w:t xml:space="preserve"> </w:t>
      </w:r>
      <w:r>
        <w:t xml:space="preserve">without material margin dilution.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Margin guidance that demonstrates continued structural expansion</w:t>
      </w:r>
      <w:r>
        <w:t xml:space="preserve">, not merely price/cost offset.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Earlier or cleaner-than-expected Filtration Group close</w:t>
      </w:r>
      <w:r>
        <w:t xml:space="preserve">, with credible synergy and deleveraging milestones.</w:t>
      </w:r>
    </w:p>
    <w:p>
      <w:pPr>
        <w:pStyle w:val="Compact"/>
        <w:numPr>
          <w:ilvl w:val="0"/>
          <w:numId w:val="1011"/>
        </w:numPr>
      </w:pPr>
      <w:r>
        <w:t xml:space="preserve">Stronger contributions from data centers, power generation, electronics/semiconductors, defense, and commercial HVAC.</w:t>
      </w:r>
    </w:p>
    <w:bookmarkEnd w:id="17"/>
    <w:bookmarkStart w:id="18" w:name="key-risks"/>
    <w:p>
      <w:pPr>
        <w:pStyle w:val="Heading2"/>
      </w:pPr>
      <w:r>
        <w:t xml:space="preserve">Key risks</w:t>
      </w:r>
    </w:p>
    <w:p>
      <w:pPr>
        <w:pStyle w:val="Compact"/>
        <w:numPr>
          <w:ilvl w:val="0"/>
          <w:numId w:val="1012"/>
        </w:numPr>
      </w:pPr>
      <w:r>
        <w:t xml:space="preserve">Aerospace growth normalization after an extended multiyear expansion.</w:t>
      </w:r>
    </w:p>
    <w:p>
      <w:pPr>
        <w:pStyle w:val="Compact"/>
        <w:numPr>
          <w:ilvl w:val="0"/>
          <w:numId w:val="1012"/>
        </w:numPr>
      </w:pPr>
      <w:r>
        <w:t xml:space="preserve">Industrial orders remaining stronger than shipments, delaying revenue conversion.</w:t>
      </w:r>
    </w:p>
    <w:p>
      <w:pPr>
        <w:pStyle w:val="Compact"/>
        <w:numPr>
          <w:ilvl w:val="0"/>
          <w:numId w:val="1012"/>
        </w:numPr>
      </w:pPr>
      <w:r>
        <w:t xml:space="preserve">Unfavorable OEM/distribution mix or price/cost pressure constraining margins.</w:t>
      </w:r>
    </w:p>
    <w:p>
      <w:pPr>
        <w:pStyle w:val="Compact"/>
        <w:numPr>
          <w:ilvl w:val="0"/>
          <w:numId w:val="1012"/>
        </w:numPr>
      </w:pPr>
      <w:r>
        <w:t xml:space="preserve">Tariff, trade-policy, currency, and supply-chain volatility.</w:t>
      </w:r>
    </w:p>
    <w:p>
      <w:pPr>
        <w:pStyle w:val="Compact"/>
        <w:numPr>
          <w:ilvl w:val="0"/>
          <w:numId w:val="1012"/>
        </w:numPr>
      </w:pPr>
      <w:r>
        <w:t xml:space="preserve">Slower demand in Europe, Latin America, agriculture, upstream energy, or automotive.</w:t>
      </w:r>
    </w:p>
    <w:p>
      <w:pPr>
        <w:pStyle w:val="Compact"/>
        <w:numPr>
          <w:ilvl w:val="0"/>
          <w:numId w:val="1012"/>
        </w:numPr>
      </w:pPr>
      <w:r>
        <w:t xml:space="preserve">Filtration Group regulatory delays, integration complexity, or higher-than-expected leverage.</w:t>
      </w:r>
    </w:p>
    <w:p>
      <w:pPr>
        <w:pStyle w:val="Compact"/>
        <w:numPr>
          <w:ilvl w:val="0"/>
          <w:numId w:val="1012"/>
        </w:numPr>
      </w:pPr>
      <w:r>
        <w:t xml:space="preserve">A merely in-line FY2027 guide after the stock’s pre-report strength.</w:t>
      </w:r>
    </w:p>
    <w:p>
      <w:r>
        <w:pict>
          <v:rect style="width:0;height:1.5pt" o:hralign="center" o:hrstd="t" o:hr="t"/>
        </w:pict>
      </w:r>
    </w:p>
    <w:bookmarkEnd w:id="18"/>
    <w:bookmarkStart w:id="1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PH heads into FY2026 Q4 from a position of strength: record backlog, high Aerospace profitability, improving Industrial demand, strong cash flow, and a raised full-year outlook. The quarter’s reported numbers should be judged against a clearly communicated management framework of nearly</w:t>
      </w:r>
      <w:r>
        <w:t xml:space="preserve"> </w:t>
      </w:r>
      <m:oMath>
        <m:r>
          <m:t>5.5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s</m:t>
        </m:r>
        <m:r>
          <m:t>a</m:t>
        </m:r>
        <m:r>
          <m:t>l</m:t>
        </m:r>
        <m:r>
          <m:t>e</m:t>
        </m:r>
        <m:r>
          <m:t>s</m:t>
        </m:r>
        <m:r>
          <m:rPr>
            <m:sty m:val="p"/>
          </m:rPr>
          <m:t>,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27.4</m:t>
        </m:r>
      </m:oMath>
      <w:r>
        <w:rPr>
          <w:b/>
          <w:bCs/>
        </w:rPr>
        <w:t xml:space="preserve">8.16</w:t>
      </w:r>
      <w:r>
        <w:t xml:space="preserve"> </w:t>
      </w:r>
      <w:r>
        <w:t xml:space="preserve">in adjusted EPS.</w:t>
      </w:r>
    </w:p>
    <w:p>
      <w:pPr>
        <w:pStyle w:val="BodyText"/>
      </w:pPr>
      <w:r>
        <w:t xml:space="preserve">For investors, the decisive issue is</w:t>
      </w:r>
      <w:r>
        <w:t xml:space="preserve"> </w:t>
      </w:r>
      <w:r>
        <w:rPr>
          <w:b/>
          <w:bCs/>
        </w:rPr>
        <w:t xml:space="preserve">not the FY2026 finish—it is the credibility and magnitude of FY2027 compounding potential.</w:t>
      </w:r>
      <w:r>
        <w:t xml:space="preserve"> </w:t>
      </w:r>
      <w:r>
        <w:t xml:space="preserve">Sustained Aerospace bookings, tangible Industrial conversion, continued margin expansion, and a disciplined Filtration Group financing/integration plan would support the premium-quality industrial narrative.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2026-08-06T00:43:05Z</dcterms:created>
  <dcterms:modified xsi:type="dcterms:W3CDTF">2026-08-06T00:43:05Z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