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Parker-Hannifin Corporation (PH)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Parker-Hannifin Corporation</w:t>
            </w:r>
          </w:p>
        </w:tc>
      </w:tr>
      <w:tr>
        <w:tc>
          <w:tcPr>
            <w:tcW w:type="dxa" w:w="4320"/>
          </w:tcPr>
          <w:p>
            <w:r>
              <w:rPr>
                <w:rFonts w:ascii="Calibri" w:hAnsi="Calibri"/>
                <w:b/>
                <w:sz w:val="22"/>
              </w:rPr>
              <w:t>Ticker</w:t>
            </w:r>
          </w:p>
        </w:tc>
        <w:tc>
          <w:tcPr>
            <w:tcW w:type="dxa" w:w="4320"/>
          </w:tcPr>
          <w:p>
            <w:r>
              <w:rPr>
                <w:rFonts w:ascii="Calibri" w:hAnsi="Calibri"/>
                <w:sz w:val="22"/>
              </w:rPr>
              <w:t>NYSE: PH</w:t>
            </w:r>
          </w:p>
        </w:tc>
      </w:tr>
      <w:tr>
        <w:tc>
          <w:tcPr>
            <w:tcW w:type="dxa" w:w="4320"/>
          </w:tcPr>
          <w:p>
            <w:r>
              <w:rPr>
                <w:rFonts w:ascii="Calibri" w:hAnsi="Calibri"/>
                <w:b/>
                <w:sz w:val="22"/>
              </w:rPr>
              <w:t>Reporting Period</w:t>
            </w:r>
          </w:p>
        </w:tc>
        <w:tc>
          <w:tcPr>
            <w:tcW w:type="dxa" w:w="4320"/>
          </w:tcPr>
          <w:p>
            <w:r>
              <w:rPr>
                <w:rFonts w:ascii="Calibri" w:hAnsi="Calibri"/>
                <w:sz w:val="22"/>
              </w:rPr>
              <w:t>Q4 FY2026 (fiscal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Before Market Open</w:t>
            </w:r>
          </w:p>
        </w:tc>
      </w:tr>
      <w:tr>
        <w:tc>
          <w:tcPr>
            <w:tcW w:type="dxa" w:w="4320"/>
          </w:tcPr>
          <w:p>
            <w:r>
              <w:rPr>
                <w:rFonts w:ascii="Calibri" w:hAnsi="Calibri"/>
                <w:b/>
                <w:sz w:val="22"/>
              </w:rPr>
              <w:t>Preparation Date</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April 30, 2026 (Q3 FY2026)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sits below management’s own Q4 guidance on both EPS and organic growth, and the industrial recovery broadened meaningfully in Q3; the biggest swing factor is whether aerospace margin holds at the elevated 29%+ level or gives back ground sequentially.</w:t>
      </w:r>
    </w:p>
    <w:p>
      <w:r>
        <w:rPr>
          <w:rFonts w:ascii="Calibri" w:hAnsi="Calibri"/>
          <w:color w:val="525866"/>
          <w:sz w:val="22"/>
        </w:rPr>
        <w:t xml:space="preserve">Heading into Q4 FY2026, the bar looks manageable: consensus EPS of ~$8.27 sits modestly below management’s own $8.16 guidance midpoint raised at the April 30 print, and the company has beaten on both revenue and EPS in each of the last eight quarters. </w:t>
      </w:r>
    </w:p>
    <w:p>
      <w:r>
        <w:rPr>
          <w:rFonts w:ascii="Calibri" w:hAnsi="Calibri"/>
          <w:color w:val="525866"/>
          <w:sz w:val="22"/>
        </w:rPr>
        <w:t xml:space="preserve">Management’s tone on the April 30 call was explicitly confident — the CEO guided Q4 organic growth to ~4% (best of the fiscal year), raised aerospace Q4 to ~9%, and stated the company is “well positioned” to deliver another record year in FY2026, with FY2027 also expected to be a record. </w:t>
      </w:r>
    </w:p>
    <w:p>
      <w:r>
        <w:rPr>
          <w:rFonts w:ascii="Calibri" w:hAnsi="Calibri"/>
          <w:color w:val="525866"/>
          <w:sz w:val="22"/>
        </w:rPr>
        <w:t xml:space="preserve">Estimate revisions have tracked guidance closely since the last print, with the Q4 EPS consensus moving from $7.60 to $8.27 post-earnings — a clean upward reset that leaves little gap between guidance and the street. </w:t>
      </w:r>
    </w:p>
    <w:p>
      <w:r>
        <w:rPr>
          <w:rFonts w:ascii="Calibri" w:hAnsi="Calibri"/>
          <w:color w:val="525866"/>
          <w:sz w:val="22"/>
        </w:rPr>
        <w:t xml:space="preserve">The stock has outperformed both XLI (+6.7%) and the S&amp;P 500 (+7.1%) since the April 30 earnings, rising ~9.6% to ~$997, suggesting the market has partially priced in continued execution but has not yet fully re-rated to reflect the pending Filtration Group acquisition close. </w:t>
      </w:r>
    </w:p>
    <w:p>
      <w:r>
        <w:rPr>
          <w:rFonts w:ascii="Calibri" w:hAnsi="Calibri"/>
          <w:color w:val="525866"/>
          <w:sz w:val="22"/>
        </w:rPr>
        <w:t xml:space="preserve">The key wildcard is the </w:t>
      </w:r>
      <w:r>
        <w:rPr>
          <w:rFonts w:ascii="Calibri" w:hAnsi="Calibri"/>
          <w:b/>
          <w:color w:val="525866"/>
          <w:sz w:val="22"/>
        </w:rPr>
        <w:t>Filtration Group acquisition timeline</w:t>
      </w:r>
      <w:r>
        <w:rPr>
          <w:rFonts w:ascii="Calibri" w:hAnsi="Calibri"/>
          <w:color w:val="525866"/>
          <w:sz w:val="22"/>
        </w:rPr>
        <w:t>: any update on regulatory clearance or closing date could move the stock more than the quarterly print itself, given the deal’s transformative scale and the $220M synergy target management has committed to.</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or slightly above management’s own Q4 guidance on EPS ($8.27 vs. $8.16 guided) and revenue (~$5.57B vs. “nearly $5.5B” guided), making the bar achievable but not low. </w:t>
      </w:r>
      <w:r>
        <w:rPr>
          <w:rFonts w:ascii="Calibri" w:hAnsi="Calibri"/>
          <w:color w:val="525866"/>
          <w:sz w:val="22"/>
        </w:rPr>
        <w:t>Adjusted segment operating margin (guided 27.4%) is the bigger swing factor — any upside there flows directly to EPS.</w:t>
      </w:r>
    </w:p>
    <w:p>
      <w:pPr>
        <w:pStyle w:val="Heading3"/>
      </w:pPr>
      <w:r>
        <w:rPr>
          <w:rFonts w:ascii="Calibri" w:hAnsi="Calibri"/>
          <w:b/>
          <w:color w:val="3B4259"/>
          <w:sz w:val="24"/>
        </w:rPr>
        <w:t>Table 1 — Q4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(Q3 FY26)</w:t>
            </w:r>
          </w:p>
        </w:tc>
        <w:tc>
          <w:tcPr>
            <w:tcW w:type="dxa" w:w="1234"/>
            <w:shd w:val="clear" w:color="auto" w:fill="3B4259"/>
          </w:tcPr>
          <w:p>
            <w:r>
              <w:rPr>
                <w:rFonts w:ascii="Calibri" w:hAnsi="Calibri"/>
                <w:b/>
                <w:color w:val="FFFFFF"/>
                <w:sz w:val="22"/>
              </w:rPr>
              <w:t>Prior Year Period (Q4 FY25)</w:t>
            </w:r>
          </w:p>
        </w:tc>
        <w:tc>
          <w:tcPr>
            <w:tcW w:type="dxa" w:w="1234"/>
            <w:shd w:val="clear" w:color="auto" w:fill="3B4259"/>
          </w:tcPr>
          <w:p>
            <w:r>
              <w:rPr>
                <w:rFonts w:ascii="Calibri" w:hAnsi="Calibri"/>
                <w:b/>
                <w:color w:val="FFFFFF"/>
                <w:sz w:val="22"/>
              </w:rPr>
              <w:t>Consensus Estimate (Q4 FY26)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Mgmt Guidance (Q4 FY26)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$5.486B</w:t>
            </w:r>
          </w:p>
        </w:tc>
        <w:tc>
          <w:tcPr>
            <w:tcW w:type="dxa" w:w="1234"/>
          </w:tcPr>
          <w:p>
            <w:r>
              <w:rPr>
                <w:rFonts w:ascii="Calibri" w:hAnsi="Calibri"/>
                <w:sz w:val="22"/>
              </w:rPr>
              <w:t>$5.243B</w:t>
            </w:r>
          </w:p>
        </w:tc>
        <w:tc>
          <w:tcPr>
            <w:tcW w:type="dxa" w:w="1234"/>
          </w:tcPr>
          <w:p>
            <w:r>
              <w:rPr>
                <w:rFonts w:ascii="Calibri" w:hAnsi="Calibri"/>
                <w:sz w:val="22"/>
              </w:rPr>
              <w:t>$5.573B</w:t>
            </w:r>
          </w:p>
        </w:tc>
        <w:tc>
          <w:tcPr>
            <w:tcW w:type="dxa" w:w="1234"/>
          </w:tcPr>
          <w:p>
            <w:r>
              <w:rPr>
                <w:rFonts w:ascii="Calibri" w:hAnsi="Calibri"/>
                <w:sz w:val="22"/>
              </w:rPr>
              <w:t>+6.3%</w:t>
            </w:r>
          </w:p>
        </w:tc>
        <w:tc>
          <w:tcPr>
            <w:tcW w:type="dxa" w:w="1234"/>
          </w:tcPr>
          <w:p>
            <w:r>
              <w:rPr>
                <w:rFonts w:ascii="Calibri" w:hAnsi="Calibri"/>
                <w:sz w:val="22"/>
              </w:rPr>
              <w:t>~$5.5B (“nearly $5.5B”)</w:t>
            </w:r>
          </w:p>
        </w:tc>
        <w:tc>
          <w:tcPr>
            <w:tcW w:type="dxa" w:w="1234"/>
          </w:tcPr>
          <w:p>
            <w:r>
              <w:rPr>
                <w:rFonts w:ascii="Calibri" w:hAnsi="Calibri"/>
                <w:sz w:val="22"/>
              </w:rPr>
              <w:t>+1.3% above guide</w:t>
            </w:r>
          </w:p>
        </w:tc>
      </w:tr>
      <w:tr>
        <w:tc>
          <w:tcPr>
            <w:tcW w:type="dxa" w:w="1234"/>
          </w:tcPr>
          <w:p>
            <w:r>
              <w:rPr>
                <w:rFonts w:ascii="Calibri" w:hAnsi="Calibri"/>
                <w:sz w:val="22"/>
              </w:rPr>
              <w:t>Organic Growth (%)</w:t>
            </w:r>
          </w:p>
        </w:tc>
        <w:tc>
          <w:tcPr>
            <w:tcW w:type="dxa" w:w="1234"/>
          </w:tcPr>
          <w:p>
            <w:r>
              <w:rPr>
                <w:rFonts w:ascii="Calibri" w:hAnsi="Calibri"/>
                <w:sz w:val="22"/>
              </w:rPr>
              <w:t>6.5%</w:t>
            </w:r>
          </w:p>
        </w:tc>
        <w:tc>
          <w:tcPr>
            <w:tcW w:type="dxa" w:w="1234"/>
          </w:tcPr>
          <w:p>
            <w:r>
              <w:rPr>
                <w:rFonts w:ascii="Calibri" w:hAnsi="Calibri"/>
                <w:sz w:val="22"/>
              </w:rPr>
              <w:t>2.1%</w:t>
            </w:r>
          </w:p>
        </w:tc>
        <w:tc>
          <w:tcPr>
            <w:tcW w:type="dxa" w:w="1234"/>
          </w:tcPr>
          <w:p>
            <w:r>
              <w:rPr>
                <w:rFonts w:ascii="Calibri" w:hAnsi="Calibri"/>
                <w:sz w:val="22"/>
              </w:rPr>
              <w:t>4.5%</w:t>
            </w:r>
          </w:p>
        </w:tc>
        <w:tc>
          <w:tcPr>
            <w:tcW w:type="dxa" w:w="1234"/>
          </w:tcPr>
          <w:p>
            <w:r>
              <w:rPr>
                <w:rFonts w:ascii="Calibri" w:hAnsi="Calibri"/>
                <w:sz w:val="22"/>
              </w:rPr>
              <w:t>+240 bps YoY</w:t>
            </w:r>
          </w:p>
        </w:tc>
        <w:tc>
          <w:tcPr>
            <w:tcW w:type="dxa" w:w="1234"/>
          </w:tcPr>
          <w:p>
            <w:r>
              <w:rPr>
                <w:rFonts w:ascii="Calibri" w:hAnsi="Calibri"/>
                <w:sz w:val="22"/>
              </w:rPr>
              <w:t>~4%</w:t>
            </w:r>
          </w:p>
        </w:tc>
        <w:tc>
          <w:tcPr>
            <w:tcW w:type="dxa" w:w="1234"/>
          </w:tcPr>
          <w:p>
            <w:r>
              <w:rPr>
                <w:rFonts w:ascii="Calibri" w:hAnsi="Calibri"/>
                <w:sz w:val="22"/>
              </w:rPr>
              <w:t>+50 bps above guide</w:t>
            </w:r>
          </w:p>
        </w:tc>
      </w:tr>
      <w:tr>
        <w:tc>
          <w:tcPr>
            <w:tcW w:type="dxa" w:w="1234"/>
          </w:tcPr>
          <w:p>
            <w:r>
              <w:rPr>
                <w:rFonts w:ascii="Calibri" w:hAnsi="Calibri"/>
                <w:sz w:val="22"/>
              </w:rPr>
              <w:t>Adj. EPS — Diluted Excl. Amort. ($)</w:t>
            </w:r>
          </w:p>
        </w:tc>
        <w:tc>
          <w:tcPr>
            <w:tcW w:type="dxa" w:w="1234"/>
          </w:tcPr>
          <w:p>
            <w:r>
              <w:rPr>
                <w:rFonts w:ascii="Calibri" w:hAnsi="Calibri"/>
                <w:sz w:val="22"/>
              </w:rPr>
              <w:t>$8.17</w:t>
            </w:r>
          </w:p>
        </w:tc>
        <w:tc>
          <w:tcPr>
            <w:tcW w:type="dxa" w:w="1234"/>
          </w:tcPr>
          <w:p>
            <w:r>
              <w:rPr>
                <w:rFonts w:ascii="Calibri" w:hAnsi="Calibri"/>
                <w:sz w:val="22"/>
              </w:rPr>
              <w:t>$7.69</w:t>
            </w:r>
          </w:p>
        </w:tc>
        <w:tc>
          <w:tcPr>
            <w:tcW w:type="dxa" w:w="1234"/>
          </w:tcPr>
          <w:p>
            <w:r>
              <w:rPr>
                <w:rFonts w:ascii="Calibri" w:hAnsi="Calibri"/>
                <w:sz w:val="22"/>
              </w:rPr>
              <w:t>$8.27</w:t>
            </w:r>
          </w:p>
        </w:tc>
        <w:tc>
          <w:tcPr>
            <w:tcW w:type="dxa" w:w="1234"/>
          </w:tcPr>
          <w:p>
            <w:r>
              <w:rPr>
                <w:rFonts w:ascii="Calibri" w:hAnsi="Calibri"/>
                <w:sz w:val="22"/>
              </w:rPr>
              <w:t>+7.5% YoY</w:t>
            </w:r>
          </w:p>
        </w:tc>
        <w:tc>
          <w:tcPr>
            <w:tcW w:type="dxa" w:w="1234"/>
          </w:tcPr>
          <w:p>
            <w:r>
              <w:rPr>
                <w:rFonts w:ascii="Calibri" w:hAnsi="Calibri"/>
                <w:sz w:val="22"/>
              </w:rPr>
              <w:t>$8.16</w:t>
            </w:r>
          </w:p>
        </w:tc>
        <w:tc>
          <w:tcPr>
            <w:tcW w:type="dxa" w:w="1234"/>
          </w:tcPr>
          <w:p>
            <w:r>
              <w:rPr>
                <w:rFonts w:ascii="Calibri" w:hAnsi="Calibri"/>
                <w:sz w:val="22"/>
              </w:rPr>
              <w:t>+1.4% above guide</w:t>
            </w:r>
          </w:p>
        </w:tc>
      </w:tr>
      <w:tr>
        <w:tc>
          <w:tcPr>
            <w:tcW w:type="dxa" w:w="1234"/>
          </w:tcPr>
          <w:p>
            <w:r>
              <w:rPr>
                <w:rFonts w:ascii="Calibri" w:hAnsi="Calibri"/>
                <w:sz w:val="22"/>
              </w:rPr>
              <w:t>Adj. Segment Operating Margin (%)</w:t>
            </w:r>
          </w:p>
        </w:tc>
        <w:tc>
          <w:tcPr>
            <w:tcW w:type="dxa" w:w="1234"/>
          </w:tcPr>
          <w:p>
            <w:r>
              <w:rPr>
                <w:rFonts w:ascii="Calibri" w:hAnsi="Calibri"/>
                <w:sz w:val="22"/>
              </w:rPr>
              <w:t>23.99%</w:t>
            </w:r>
          </w:p>
        </w:tc>
        <w:tc>
          <w:tcPr>
            <w:tcW w:type="dxa" w:w="1234"/>
          </w:tcPr>
          <w:p>
            <w:r>
              <w:rPr>
                <w:rFonts w:ascii="Calibri" w:hAnsi="Calibri"/>
                <w:sz w:val="22"/>
              </w:rPr>
              <w:t>24.24%</w:t>
            </w:r>
          </w:p>
        </w:tc>
        <w:tc>
          <w:tcPr>
            <w:tcW w:type="dxa" w:w="1234"/>
          </w:tcPr>
          <w:p>
            <w:r>
              <w:rPr>
                <w:rFonts w:ascii="Calibri" w:hAnsi="Calibri"/>
                <w:sz w:val="22"/>
              </w:rPr>
              <w:t>24.76%</w:t>
            </w:r>
          </w:p>
        </w:tc>
        <w:tc>
          <w:tcPr>
            <w:tcW w:type="dxa" w:w="1234"/>
          </w:tcPr>
          <w:p>
            <w:r>
              <w:rPr>
                <w:rFonts w:ascii="Calibri" w:hAnsi="Calibri"/>
                <w:sz w:val="22"/>
              </w:rPr>
              <w:t>+52 bps YoY</w:t>
            </w:r>
          </w:p>
        </w:tc>
        <w:tc>
          <w:tcPr>
            <w:tcW w:type="dxa" w:w="1234"/>
          </w:tcPr>
          <w:p>
            <w:r>
              <w:rPr>
                <w:rFonts w:ascii="Calibri" w:hAnsi="Calibri"/>
                <w:sz w:val="22"/>
              </w:rPr>
              <w:t>27.4%</w:t>
            </w:r>
          </w:p>
        </w:tc>
        <w:tc>
          <w:tcPr>
            <w:tcW w:type="dxa" w:w="1234"/>
          </w:tcPr>
          <w:p>
            <w:r>
              <w:rPr>
                <w:rFonts w:ascii="Calibri" w:hAnsi="Calibri"/>
                <w:sz w:val="22"/>
              </w:rPr>
              <w:t>~10 bps above guide</w:t>
            </w:r>
          </w:p>
        </w:tc>
      </w:tr>
      <w:tr>
        <w:tc>
          <w:tcPr>
            <w:tcW w:type="dxa" w:w="1234"/>
          </w:tcPr>
          <w:p>
            <w:r>
              <w:rPr>
                <w:rFonts w:ascii="Calibri" w:hAnsi="Calibri"/>
                <w:sz w:val="22"/>
              </w:rPr>
              <w:t>Aerospace Systems Revenue ($B)</w:t>
            </w:r>
          </w:p>
        </w:tc>
        <w:tc>
          <w:tcPr>
            <w:tcW w:type="dxa" w:w="1234"/>
          </w:tcPr>
          <w:p>
            <w:r>
              <w:rPr>
                <w:rFonts w:ascii="Calibri" w:hAnsi="Calibri"/>
                <w:sz w:val="22"/>
              </w:rPr>
              <w:t>$1.814B</w:t>
            </w:r>
          </w:p>
        </w:tc>
        <w:tc>
          <w:tcPr>
            <w:tcW w:type="dxa" w:w="1234"/>
          </w:tcPr>
          <w:p>
            <w:r>
              <w:rPr>
                <w:rFonts w:ascii="Calibri" w:hAnsi="Calibri"/>
                <w:sz w:val="22"/>
              </w:rPr>
              <w:t>$1.676B</w:t>
            </w:r>
          </w:p>
        </w:tc>
        <w:tc>
          <w:tcPr>
            <w:tcW w:type="dxa" w:w="1234"/>
          </w:tcPr>
          <w:p>
            <w:r>
              <w:rPr>
                <w:rFonts w:ascii="Calibri" w:hAnsi="Calibri"/>
                <w:sz w:val="22"/>
              </w:rPr>
              <w:t>$1.834B</w:t>
            </w:r>
          </w:p>
        </w:tc>
        <w:tc>
          <w:tcPr>
            <w:tcW w:type="dxa" w:w="1234"/>
          </w:tcPr>
          <w:p>
            <w:r>
              <w:rPr>
                <w:rFonts w:ascii="Calibri" w:hAnsi="Calibri"/>
                <w:sz w:val="22"/>
              </w:rPr>
              <w:t>+9.4% YoY</w:t>
            </w:r>
          </w:p>
        </w:tc>
        <w:tc>
          <w:tcPr>
            <w:tcW w:type="dxa" w:w="1234"/>
          </w:tcPr>
          <w:p>
            <w:r>
              <w:rPr>
                <w:rFonts w:ascii="Calibri" w:hAnsi="Calibri"/>
                <w:sz w:val="22"/>
              </w:rPr>
              <w:t>~9% organic growth</w:t>
            </w:r>
          </w:p>
        </w:tc>
        <w:tc>
          <w:tcPr>
            <w:tcW w:type="dxa" w:w="1234"/>
          </w:tcPr>
          <w:p>
            <w:r>
              <w:rPr>
                <w:rFonts w:ascii="Calibri" w:hAnsi="Calibri"/>
                <w:sz w:val="22"/>
              </w:rPr>
              <w:t>In line</w:t>
            </w:r>
          </w:p>
        </w:tc>
      </w:tr>
      <w:tr>
        <w:tc>
          <w:tcPr>
            <w:tcW w:type="dxa" w:w="1234"/>
          </w:tcPr>
          <w:p>
            <w:r>
              <w:rPr>
                <w:rFonts w:ascii="Calibri" w:hAnsi="Calibri"/>
                <w:sz w:val="22"/>
              </w:rPr>
              <w:t>Diversified Industrial — North America Revenue ($B)</w:t>
            </w:r>
          </w:p>
        </w:tc>
        <w:tc>
          <w:tcPr>
            <w:tcW w:type="dxa" w:w="1234"/>
          </w:tcPr>
          <w:p>
            <w:r>
              <w:rPr>
                <w:rFonts w:ascii="Calibri" w:hAnsi="Calibri"/>
                <w:sz w:val="22"/>
              </w:rPr>
              <w:t>$2.141B</w:t>
            </w:r>
          </w:p>
        </w:tc>
        <w:tc>
          <w:tcPr>
            <w:tcW w:type="dxa" w:w="1234"/>
          </w:tcPr>
          <w:p>
            <w:r>
              <w:rPr>
                <w:rFonts w:ascii="Calibri" w:hAnsi="Calibri"/>
                <w:sz w:val="22"/>
              </w:rPr>
              <w:t>$2.075B</w:t>
            </w:r>
          </w:p>
        </w:tc>
        <w:tc>
          <w:tcPr>
            <w:tcW w:type="dxa" w:w="1234"/>
          </w:tcPr>
          <w:p>
            <w:r>
              <w:rPr>
                <w:rFonts w:ascii="Calibri" w:hAnsi="Calibri"/>
                <w:sz w:val="22"/>
              </w:rPr>
              <w:t>$2.175B</w:t>
            </w:r>
          </w:p>
        </w:tc>
        <w:tc>
          <w:tcPr>
            <w:tcW w:type="dxa" w:w="1234"/>
          </w:tcPr>
          <w:p>
            <w:r>
              <w:rPr>
                <w:rFonts w:ascii="Calibri" w:hAnsi="Calibri"/>
                <w:sz w:val="22"/>
              </w:rPr>
              <w:t>+4.8% YoY</w:t>
            </w:r>
          </w:p>
        </w:tc>
        <w:tc>
          <w:tcPr>
            <w:tcW w:type="dxa" w:w="1234"/>
          </w:tcPr>
          <w:p>
            <w:r>
              <w:rPr>
                <w:rFonts w:ascii="Calibri" w:hAnsi="Calibri"/>
                <w:sz w:val="22"/>
              </w:rPr>
              <w:t>3% organic growth</w:t>
            </w:r>
          </w:p>
        </w:tc>
        <w:tc>
          <w:tcPr>
            <w:tcW w:type="dxa" w:w="1234"/>
          </w:tcPr>
          <w:p>
            <w:r>
              <w:rPr>
                <w:rFonts w:ascii="Calibri" w:hAnsi="Calibri"/>
                <w:sz w:val="22"/>
              </w:rPr>
              <w:t>In line</w:t>
            </w:r>
          </w:p>
        </w:tc>
      </w:tr>
      <w:tr>
        <w:tc>
          <w:tcPr>
            <w:tcW w:type="dxa" w:w="1234"/>
          </w:tcPr>
          <w:p>
            <w:r>
              <w:rPr>
                <w:rFonts w:ascii="Calibri" w:hAnsi="Calibri"/>
                <w:sz w:val="22"/>
              </w:rPr>
              <w:t>Diversified Industrial — International Revenue ($B)</w:t>
            </w:r>
          </w:p>
        </w:tc>
        <w:tc>
          <w:tcPr>
            <w:tcW w:type="dxa" w:w="1234"/>
          </w:tcPr>
          <w:p>
            <w:r>
              <w:rPr>
                <w:rFonts w:ascii="Calibri" w:hAnsi="Calibri"/>
                <w:sz w:val="22"/>
              </w:rPr>
              <w:t>$1.531B</w:t>
            </w:r>
          </w:p>
        </w:tc>
        <w:tc>
          <w:tcPr>
            <w:tcW w:type="dxa" w:w="1234"/>
          </w:tcPr>
          <w:p>
            <w:r>
              <w:rPr>
                <w:rFonts w:ascii="Calibri" w:hAnsi="Calibri"/>
                <w:sz w:val="22"/>
              </w:rPr>
              <w:t>$1.492B</w:t>
            </w:r>
          </w:p>
        </w:tc>
        <w:tc>
          <w:tcPr>
            <w:tcW w:type="dxa" w:w="1234"/>
          </w:tcPr>
          <w:p>
            <w:r>
              <w:rPr>
                <w:rFonts w:ascii="Calibri" w:hAnsi="Calibri"/>
                <w:sz w:val="22"/>
              </w:rPr>
              <w:t>$1.558B</w:t>
            </w:r>
          </w:p>
        </w:tc>
        <w:tc>
          <w:tcPr>
            <w:tcW w:type="dxa" w:w="1234"/>
          </w:tcPr>
          <w:p>
            <w:r>
              <w:rPr>
                <w:rFonts w:ascii="Calibri" w:hAnsi="Calibri"/>
                <w:sz w:val="22"/>
              </w:rPr>
              <w:t>+4.4% YoY</w:t>
            </w:r>
          </w:p>
        </w:tc>
        <w:tc>
          <w:tcPr>
            <w:tcW w:type="dxa" w:w="1234"/>
          </w:tcPr>
          <w:p>
            <w:r>
              <w:rPr>
                <w:rFonts w:ascii="Calibri" w:hAnsi="Calibri"/>
                <w:sz w:val="22"/>
              </w:rPr>
              <w:t>3% organic growth</w:t>
            </w:r>
          </w:p>
        </w:tc>
        <w:tc>
          <w:tcPr>
            <w:tcW w:type="dxa" w:w="1234"/>
          </w:tcPr>
          <w:p>
            <w:r>
              <w:rPr>
                <w:rFonts w:ascii="Calibri" w:hAnsi="Calibri"/>
                <w:sz w:val="22"/>
              </w:rPr>
              <w:t>In line</w:t>
            </w:r>
          </w:p>
        </w:tc>
      </w:tr>
      <w:tr>
        <w:tc>
          <w:tcPr>
            <w:tcW w:type="dxa" w:w="1234"/>
          </w:tcPr>
          <w:p>
            <w:r>
              <w:rPr>
                <w:rFonts w:ascii="Calibri" w:hAnsi="Calibri"/>
                <w:sz w:val="22"/>
              </w:rPr>
              <w:t>Aerospace EBITA Margin (%)</w:t>
            </w:r>
          </w:p>
        </w:tc>
        <w:tc>
          <w:tcPr>
            <w:tcW w:type="dxa" w:w="1234"/>
          </w:tcPr>
          <w:p>
            <w:r>
              <w:rPr>
                <w:rFonts w:ascii="Calibri" w:hAnsi="Calibri"/>
                <w:sz w:val="22"/>
              </w:rPr>
              <w:t>29.55%</w:t>
            </w:r>
          </w:p>
        </w:tc>
        <w:tc>
          <w:tcPr>
            <w:tcW w:type="dxa" w:w="1234"/>
          </w:tcPr>
          <w:p>
            <w:r>
              <w:rPr>
                <w:rFonts w:ascii="Calibri" w:hAnsi="Calibri"/>
                <w:sz w:val="22"/>
              </w:rPr>
              <w:t>29.00%</w:t>
            </w:r>
          </w:p>
        </w:tc>
        <w:tc>
          <w:tcPr>
            <w:tcW w:type="dxa" w:w="1234"/>
          </w:tcPr>
          <w:p>
            <w:r>
              <w:rPr>
                <w:rFonts w:ascii="Calibri" w:hAnsi="Calibri"/>
                <w:sz w:val="22"/>
              </w:rPr>
              <w:t>29.92%</w:t>
            </w:r>
          </w:p>
        </w:tc>
        <w:tc>
          <w:tcPr>
            <w:tcW w:type="dxa" w:w="1234"/>
          </w:tcPr>
          <w:p>
            <w:r>
              <w:rPr>
                <w:rFonts w:ascii="Calibri" w:hAnsi="Calibri"/>
                <w:sz w:val="22"/>
              </w:rPr>
              <w:t>+92 bps YoY</w:t>
            </w:r>
          </w:p>
        </w:tc>
        <w:tc>
          <w:tcPr>
            <w:tcW w:type="dxa" w:w="1234"/>
          </w:tcPr>
          <w:p>
            <w:r>
              <w:rPr>
                <w:rFonts w:ascii="Calibri" w:hAnsi="Calibri"/>
                <w:sz w:val="22"/>
              </w:rPr>
              <w:t>N/A (segment margin)</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$0.881B</w:t>
            </w:r>
          </w:p>
        </w:tc>
        <w:tc>
          <w:tcPr>
            <w:tcW w:type="dxa" w:w="1234"/>
          </w:tcPr>
          <w:p>
            <w:r>
              <w:rPr>
                <w:rFonts w:ascii="Calibri" w:hAnsi="Calibri"/>
                <w:sz w:val="22"/>
              </w:rPr>
              <w:t>$1.336B</w:t>
            </w:r>
          </w:p>
        </w:tc>
        <w:tc>
          <w:tcPr>
            <w:tcW w:type="dxa" w:w="1234"/>
          </w:tcPr>
          <w:p>
            <w:r>
              <w:rPr>
                <w:rFonts w:ascii="Calibri" w:hAnsi="Calibri"/>
                <w:sz w:val="22"/>
              </w:rPr>
              <w:t>$1.138B</w:t>
            </w:r>
          </w:p>
        </w:tc>
        <w:tc>
          <w:tcPr>
            <w:tcW w:type="dxa" w:w="1234"/>
          </w:tcPr>
          <w:p>
            <w:r>
              <w:rPr>
                <w:rFonts w:ascii="Calibri" w:hAnsi="Calibri"/>
                <w:sz w:val="22"/>
              </w:rPr>
              <w:t>-14.8% YoY</w:t>
            </w:r>
          </w:p>
        </w:tc>
        <w:tc>
          <w:tcPr>
            <w:tcW w:type="dxa" w:w="1234"/>
          </w:tcPr>
          <w:p>
            <w:r>
              <w:rPr>
                <w:rFonts w:ascii="Calibri" w:hAnsi="Calibri"/>
                <w:sz w:val="22"/>
              </w:rPr>
              <w:t>$3.3B–$3.6B FY range</w:t>
            </w:r>
          </w:p>
        </w:tc>
        <w:tc>
          <w:tcPr>
            <w:tcW w:type="dxa" w:w="1234"/>
          </w:tcPr>
          <w:p>
            <w:r>
              <w:rPr>
                <w:rFonts w:ascii="Calibri" w:hAnsi="Calibri"/>
                <w:sz w:val="22"/>
              </w:rPr>
              <w:t>N/A (FY guide)</w:t>
            </w:r>
          </w:p>
        </w:tc>
      </w:tr>
    </w:tbl>
    <w:p>
      <w:r>
        <w:rPr>
          <w:rFonts w:ascii="Calibri" w:hAnsi="Calibri"/>
          <w:i/>
          <w:color w:val="525866"/>
          <w:sz w:val="22"/>
        </w:rPr>
        <w:t>Source: Visible Alpha Consensus and Actuals Data. Guidance from Q3 FY2026 earnings call (April 30, 2026). Adj. Segment Operating Margin consensus (24.76%) reflects VA “Operating margin — Total of segments (ex. corp. adjmt.) — operating”; management guided 27.4% on a different (fully-loaded) basis — the two are not directly comparable.</w:t>
      </w:r>
    </w:p>
    <w:p>
      <w:pPr>
        <w:pStyle w:val="Heading3"/>
      </w:pPr>
      <w:r>
        <w:rPr>
          <w:rFonts w:ascii="Calibri" w:hAnsi="Calibri"/>
          <w:b/>
          <w:color w:val="3B4259"/>
          <w:sz w:val="24"/>
        </w:rPr>
        <w:t>Table 2 — Beat/Miss History: Top 2 KPIs (Last 8 Quarters)</w:t>
      </w:r>
    </w:p>
    <w:p>
      <w:r>
        <w:rPr>
          <w:rFonts w:ascii="Calibri" w:hAnsi="Calibri"/>
          <w:b/>
          <w:color w:val="525866"/>
          <w:sz w:val="22"/>
        </w:rPr>
        <w:t>KPI 1: Adjusted EPS (Diluted, excl. Amortization)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FY2024</w:t>
            </w:r>
          </w:p>
        </w:tc>
        <w:tc>
          <w:tcPr>
            <w:tcW w:type="dxa" w:w="1728"/>
          </w:tcPr>
          <w:p>
            <w:r>
              <w:rPr>
                <w:rFonts w:ascii="Calibri" w:hAnsi="Calibri"/>
                <w:sz w:val="22"/>
              </w:rPr>
              <w:t>$6.77</w:t>
            </w:r>
          </w:p>
        </w:tc>
        <w:tc>
          <w:tcPr>
            <w:tcW w:type="dxa" w:w="1728"/>
          </w:tcPr>
          <w:p>
            <w:r>
              <w:rPr>
                <w:rFonts w:ascii="Calibri" w:hAnsi="Calibri"/>
                <w:sz w:val="22"/>
              </w:rPr>
              <w:t>$6.22</w:t>
            </w:r>
          </w:p>
        </w:tc>
        <w:tc>
          <w:tcPr>
            <w:tcW w:type="dxa" w:w="1728"/>
          </w:tcPr>
          <w:p>
            <w:r>
              <w:rPr>
                <w:rFonts w:ascii="Calibri" w:hAnsi="Calibri"/>
                <w:b/>
                <w:color w:val="30A46C"/>
                <w:sz w:val="22"/>
              </w:rPr>
              <w:t>+8.8%</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$6.20</w:t>
            </w:r>
          </w:p>
        </w:tc>
        <w:tc>
          <w:tcPr>
            <w:tcW w:type="dxa" w:w="1728"/>
          </w:tcPr>
          <w:p>
            <w:r>
              <w:rPr>
                <w:rFonts w:ascii="Calibri" w:hAnsi="Calibri"/>
                <w:sz w:val="22"/>
              </w:rPr>
              <w:t>$6.13</w:t>
            </w:r>
          </w:p>
        </w:tc>
        <w:tc>
          <w:tcPr>
            <w:tcW w:type="dxa" w:w="1728"/>
          </w:tcPr>
          <w:p>
            <w:r>
              <w:rPr>
                <w:rFonts w:ascii="Calibri" w:hAnsi="Calibri"/>
                <w:b/>
                <w:color w:val="30A46C"/>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$6.53</w:t>
            </w:r>
          </w:p>
        </w:tc>
        <w:tc>
          <w:tcPr>
            <w:tcW w:type="dxa" w:w="1728"/>
          </w:tcPr>
          <w:p>
            <w:r>
              <w:rPr>
                <w:rFonts w:ascii="Calibri" w:hAnsi="Calibri"/>
                <w:sz w:val="22"/>
              </w:rPr>
              <w:t>$6.21</w:t>
            </w:r>
          </w:p>
        </w:tc>
        <w:tc>
          <w:tcPr>
            <w:tcW w:type="dxa" w:w="1728"/>
          </w:tcPr>
          <w:p>
            <w:r>
              <w:rPr>
                <w:rFonts w:ascii="Calibri" w:hAnsi="Calibri"/>
                <w:b/>
                <w:color w:val="30A46C"/>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$6.94</w:t>
            </w:r>
          </w:p>
        </w:tc>
        <w:tc>
          <w:tcPr>
            <w:tcW w:type="dxa" w:w="1728"/>
          </w:tcPr>
          <w:p>
            <w:r>
              <w:rPr>
                <w:rFonts w:ascii="Calibri" w:hAnsi="Calibri"/>
                <w:sz w:val="22"/>
              </w:rPr>
              <w:t>$6.71</w:t>
            </w:r>
          </w:p>
        </w:tc>
        <w:tc>
          <w:tcPr>
            <w:tcW w:type="dxa" w:w="1728"/>
          </w:tcPr>
          <w:p>
            <w:r>
              <w:rPr>
                <w:rFonts w:ascii="Calibri" w:hAnsi="Calibri"/>
                <w:b/>
                <w:color w:val="30A46C"/>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$7.69</w:t>
            </w:r>
          </w:p>
        </w:tc>
        <w:tc>
          <w:tcPr>
            <w:tcW w:type="dxa" w:w="1728"/>
          </w:tcPr>
          <w:p>
            <w:r>
              <w:rPr>
                <w:rFonts w:ascii="Calibri" w:hAnsi="Calibri"/>
                <w:sz w:val="22"/>
              </w:rPr>
              <w:t>$7.09</w:t>
            </w:r>
          </w:p>
        </w:tc>
        <w:tc>
          <w:tcPr>
            <w:tcW w:type="dxa" w:w="1728"/>
          </w:tcPr>
          <w:p>
            <w:r>
              <w:rPr>
                <w:rFonts w:ascii="Calibri" w:hAnsi="Calibri"/>
                <w:b/>
                <w:color w:val="30A46C"/>
                <w:sz w:val="22"/>
              </w:rPr>
              <w:t>+8.5%</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$7.22</w:t>
            </w:r>
          </w:p>
        </w:tc>
        <w:tc>
          <w:tcPr>
            <w:tcW w:type="dxa" w:w="1728"/>
          </w:tcPr>
          <w:p>
            <w:r>
              <w:rPr>
                <w:rFonts w:ascii="Calibri" w:hAnsi="Calibri"/>
                <w:sz w:val="22"/>
              </w:rPr>
              <w:t>$6.62</w:t>
            </w:r>
          </w:p>
        </w:tc>
        <w:tc>
          <w:tcPr>
            <w:tcW w:type="dxa" w:w="1728"/>
          </w:tcPr>
          <w:p>
            <w:r>
              <w:rPr>
                <w:rFonts w:ascii="Calibri" w:hAnsi="Calibri"/>
                <w:b/>
                <w:color w:val="30A46C"/>
                <w:sz w:val="22"/>
              </w:rPr>
              <w:t>+9.1%</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$7.65</w:t>
            </w:r>
          </w:p>
        </w:tc>
        <w:tc>
          <w:tcPr>
            <w:tcW w:type="dxa" w:w="1728"/>
          </w:tcPr>
          <w:p>
            <w:r>
              <w:rPr>
                <w:rFonts w:ascii="Calibri" w:hAnsi="Calibri"/>
                <w:sz w:val="22"/>
              </w:rPr>
              <w:t>$7.17</w:t>
            </w:r>
          </w:p>
        </w:tc>
        <w:tc>
          <w:tcPr>
            <w:tcW w:type="dxa" w:w="1728"/>
          </w:tcPr>
          <w:p>
            <w:r>
              <w:rPr>
                <w:rFonts w:ascii="Calibri" w:hAnsi="Calibri"/>
                <w:b/>
                <w:color w:val="30A46C"/>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Q3 FY2026</w:t>
            </w:r>
          </w:p>
        </w:tc>
        <w:tc>
          <w:tcPr>
            <w:tcW w:type="dxa" w:w="1728"/>
          </w:tcPr>
          <w:p>
            <w:r>
              <w:rPr>
                <w:rFonts w:ascii="Calibri" w:hAnsi="Calibri"/>
                <w:sz w:val="22"/>
              </w:rPr>
              <w:t>$8.17</w:t>
            </w:r>
          </w:p>
        </w:tc>
        <w:tc>
          <w:tcPr>
            <w:tcW w:type="dxa" w:w="1728"/>
          </w:tcPr>
          <w:p>
            <w:r>
              <w:rPr>
                <w:rFonts w:ascii="Calibri" w:hAnsi="Calibri"/>
                <w:sz w:val="22"/>
              </w:rPr>
              <w:t>$7.83</w:t>
            </w:r>
          </w:p>
        </w:tc>
        <w:tc>
          <w:tcPr>
            <w:tcW w:type="dxa" w:w="1728"/>
          </w:tcPr>
          <w:p>
            <w:r>
              <w:rPr>
                <w:rFonts w:ascii="Calibri" w:hAnsi="Calibri"/>
                <w:b/>
                <w:color w:val="30A46C"/>
                <w:sz w:val="22"/>
              </w:rPr>
              <w:t>+4.3%</w:t>
            </w:r>
          </w:p>
        </w:tc>
        <w:tc>
          <w:tcPr>
            <w:tcW w:type="dxa" w:w="1728"/>
          </w:tcPr>
          <w:p>
            <w:r>
              <w:rPr>
                <w:rFonts w:ascii="Calibri" w:hAnsi="Calibri"/>
                <w:b/>
                <w:color w:val="30A46C"/>
                <w:sz w:val="22"/>
              </w:rPr>
              <w:t>BEAT</w:t>
            </w:r>
          </w:p>
        </w:tc>
      </w:tr>
    </w:tbl>
    <w:p>
      <w:r>
        <w:rPr>
          <w:rFonts w:ascii="Calibri" w:hAnsi="Calibri"/>
          <w:b/>
          <w:color w:val="525866"/>
          <w:sz w:val="22"/>
        </w:rPr>
        <w:t>KPI 2: 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FY2024</w:t>
            </w:r>
          </w:p>
        </w:tc>
        <w:tc>
          <w:tcPr>
            <w:tcW w:type="dxa" w:w="1728"/>
          </w:tcPr>
          <w:p>
            <w:r>
              <w:rPr>
                <w:rFonts w:ascii="Calibri" w:hAnsi="Calibri"/>
                <w:sz w:val="22"/>
              </w:rPr>
              <w:t>$5.187B</w:t>
            </w:r>
          </w:p>
        </w:tc>
        <w:tc>
          <w:tcPr>
            <w:tcW w:type="dxa" w:w="1728"/>
          </w:tcPr>
          <w:p>
            <w:r>
              <w:rPr>
                <w:rFonts w:ascii="Calibri" w:hAnsi="Calibri"/>
                <w:sz w:val="22"/>
              </w:rPr>
              <w:t>$5.086B</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$4.904B</w:t>
            </w:r>
          </w:p>
        </w:tc>
        <w:tc>
          <w:tcPr>
            <w:tcW w:type="dxa" w:w="1728"/>
          </w:tcPr>
          <w:p>
            <w:r>
              <w:rPr>
                <w:rFonts w:ascii="Calibri" w:hAnsi="Calibri"/>
                <w:sz w:val="22"/>
              </w:rPr>
              <w:t>$4.900B</w:t>
            </w:r>
          </w:p>
        </w:tc>
        <w:tc>
          <w:tcPr>
            <w:tcW w:type="dxa" w:w="1728"/>
          </w:tcPr>
          <w:p>
            <w:r>
              <w:rPr>
                <w:rFonts w:ascii="Calibri" w:hAnsi="Calibri"/>
                <w:b/>
                <w:color w:val="30A46C"/>
                <w:sz w:val="22"/>
              </w:rPr>
              <w:t>+0.1%</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$4.743B</w:t>
            </w:r>
          </w:p>
        </w:tc>
        <w:tc>
          <w:tcPr>
            <w:tcW w:type="dxa" w:w="1728"/>
          </w:tcPr>
          <w:p>
            <w:r>
              <w:rPr>
                <w:rFonts w:ascii="Calibri" w:hAnsi="Calibri"/>
                <w:sz w:val="22"/>
              </w:rPr>
              <w:t>$4.795B</w:t>
            </w:r>
          </w:p>
        </w:tc>
        <w:tc>
          <w:tcPr>
            <w:tcW w:type="dxa" w:w="1728"/>
          </w:tcPr>
          <w:p>
            <w:r>
              <w:rPr>
                <w:rFonts w:ascii="Calibri" w:hAnsi="Calibri"/>
                <w:b/>
                <w:color w:val="E5484D"/>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Q3 FY2025</w:t>
            </w:r>
          </w:p>
        </w:tc>
        <w:tc>
          <w:tcPr>
            <w:tcW w:type="dxa" w:w="1728"/>
          </w:tcPr>
          <w:p>
            <w:r>
              <w:rPr>
                <w:rFonts w:ascii="Calibri" w:hAnsi="Calibri"/>
                <w:sz w:val="22"/>
              </w:rPr>
              <w:t>$4.960B</w:t>
            </w:r>
          </w:p>
        </w:tc>
        <w:tc>
          <w:tcPr>
            <w:tcW w:type="dxa" w:w="1728"/>
          </w:tcPr>
          <w:p>
            <w:r>
              <w:rPr>
                <w:rFonts w:ascii="Calibri" w:hAnsi="Calibri"/>
                <w:sz w:val="22"/>
              </w:rPr>
              <w:t>$4.982B</w:t>
            </w:r>
          </w:p>
        </w:tc>
        <w:tc>
          <w:tcPr>
            <w:tcW w:type="dxa" w:w="1728"/>
          </w:tcPr>
          <w:p>
            <w:r>
              <w:rPr>
                <w:rFonts w:ascii="Calibri" w:hAnsi="Calibri"/>
                <w:b/>
                <w:color w:val="E5484D"/>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Q4 FY2025</w:t>
            </w:r>
          </w:p>
        </w:tc>
        <w:tc>
          <w:tcPr>
            <w:tcW w:type="dxa" w:w="1728"/>
          </w:tcPr>
          <w:p>
            <w:r>
              <w:rPr>
                <w:rFonts w:ascii="Calibri" w:hAnsi="Calibri"/>
                <w:sz w:val="22"/>
              </w:rPr>
              <w:t>$5.243B</w:t>
            </w:r>
          </w:p>
        </w:tc>
        <w:tc>
          <w:tcPr>
            <w:tcW w:type="dxa" w:w="1728"/>
          </w:tcPr>
          <w:p>
            <w:r>
              <w:rPr>
                <w:rFonts w:ascii="Calibri" w:hAnsi="Calibri"/>
                <w:sz w:val="22"/>
              </w:rPr>
              <w:t>$5.108B</w:t>
            </w:r>
          </w:p>
        </w:tc>
        <w:tc>
          <w:tcPr>
            <w:tcW w:type="dxa" w:w="1728"/>
          </w:tcPr>
          <w:p>
            <w:r>
              <w:rPr>
                <w:rFonts w:ascii="Calibri" w:hAnsi="Calibri"/>
                <w:b/>
                <w:color w:val="30A46C"/>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$5.084B</w:t>
            </w:r>
          </w:p>
        </w:tc>
        <w:tc>
          <w:tcPr>
            <w:tcW w:type="dxa" w:w="1728"/>
          </w:tcPr>
          <w:p>
            <w:r>
              <w:rPr>
                <w:rFonts w:ascii="Calibri" w:hAnsi="Calibri"/>
                <w:sz w:val="22"/>
              </w:rPr>
              <w:t>$4.943B</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$5.174B</w:t>
            </w:r>
          </w:p>
        </w:tc>
        <w:tc>
          <w:tcPr>
            <w:tcW w:type="dxa" w:w="1728"/>
          </w:tcPr>
          <w:p>
            <w:r>
              <w:rPr>
                <w:rFonts w:ascii="Calibri" w:hAnsi="Calibri"/>
                <w:sz w:val="22"/>
              </w:rPr>
              <w:t>$5.066B</w:t>
            </w:r>
          </w:p>
        </w:tc>
        <w:tc>
          <w:tcPr>
            <w:tcW w:type="dxa" w:w="1728"/>
          </w:tcPr>
          <w:p>
            <w:r>
              <w:rPr>
                <w:rFonts w:ascii="Calibri" w:hAnsi="Calibri"/>
                <w:b/>
                <w:color w:val="30A46C"/>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Q3 FY2026</w:t>
            </w:r>
          </w:p>
        </w:tc>
        <w:tc>
          <w:tcPr>
            <w:tcW w:type="dxa" w:w="1728"/>
          </w:tcPr>
          <w:p>
            <w:r>
              <w:rPr>
                <w:rFonts w:ascii="Calibri" w:hAnsi="Calibri"/>
                <w:sz w:val="22"/>
              </w:rPr>
              <w:t>$5.486B</w:t>
            </w:r>
          </w:p>
        </w:tc>
        <w:tc>
          <w:tcPr>
            <w:tcW w:type="dxa" w:w="1728"/>
          </w:tcPr>
          <w:p>
            <w:r>
              <w:rPr>
                <w:rFonts w:ascii="Calibri" w:hAnsi="Calibri"/>
                <w:sz w:val="22"/>
              </w:rPr>
              <w:t>$5.397B</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PH has beaten EPS consensus in all 8 of the last 8 quarters, with an average surprise of +5.9%; revenue beats are more mixed (6 of 8), with the two misses concentrated in the softer industrial demand environment of FY2025 Q2–Q3. The consistent EPS beat pattern reflects management’s conservative guidance philosophy and strong margin execution.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guidance across every major metric on the April 30 Q3 FY2026 call — organic growth, EPS, and free cash flow all moved higher — and tone was explicitly confident with no post-earnings revisions since. </w:t>
      </w:r>
      <w:r>
        <w:rPr>
          <w:rFonts w:ascii="Calibri" w:hAnsi="Calibri"/>
          <w:color w:val="525866"/>
          <w:sz w:val="22"/>
        </w:rPr>
        <w:t>No 8-K or pre-announcement has altered guidance since the last earnings call; the table below reflects the April 30 baseline as current.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 30,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Q4 FY26 Reported Sales</w:t>
            </w:r>
          </w:p>
        </w:tc>
        <w:tc>
          <w:tcPr>
            <w:tcW w:type="dxa" w:w="1728"/>
          </w:tcPr>
          <w:p>
            <w:r>
              <w:rPr>
                <w:rFonts w:ascii="Calibri" w:hAnsi="Calibri"/>
                <w:sz w:val="22"/>
              </w:rPr>
              <w:t>~$5.5B (+5.5% YoY)</w:t>
            </w:r>
          </w:p>
        </w:tc>
        <w:tc>
          <w:tcPr>
            <w:tcW w:type="dxa" w:w="1728"/>
          </w:tcPr>
          <w:p>
            <w:r>
              <w:rPr>
                <w:rFonts w:ascii="Calibri" w:hAnsi="Calibri"/>
                <w:sz w:val="22"/>
              </w:rPr>
              <w:t>—</w:t>
            </w:r>
          </w:p>
        </w:tc>
        <w:tc>
          <w:tcPr>
            <w:tcW w:type="dxa" w:w="1728"/>
          </w:tcPr>
          <w:p>
            <w:r>
              <w:rPr>
                <w:rFonts w:ascii="Calibri" w:hAnsi="Calibri"/>
                <w:sz w:val="22"/>
              </w:rPr>
              <w:t>$5.573B</w:t>
            </w:r>
          </w:p>
        </w:tc>
        <w:tc>
          <w:tcPr>
            <w:tcW w:type="dxa" w:w="1728"/>
          </w:tcPr>
          <w:p>
            <w:r>
              <w:rPr>
                <w:rFonts w:ascii="Calibri" w:hAnsi="Calibri"/>
                <w:sz w:val="22"/>
              </w:rPr>
              <w:t>Consensus ~1.3% above guide midpoint; no post-earnings revision</w:t>
            </w:r>
          </w:p>
        </w:tc>
      </w:tr>
      <w:tr>
        <w:tc>
          <w:tcPr>
            <w:tcW w:type="dxa" w:w="1728"/>
          </w:tcPr>
          <w:p>
            <w:r>
              <w:rPr>
                <w:rFonts w:ascii="Calibri" w:hAnsi="Calibri"/>
                <w:sz w:val="22"/>
              </w:rPr>
              <w:t>Q4 FY26 Organic Growth</w:t>
            </w:r>
          </w:p>
        </w:tc>
        <w:tc>
          <w:tcPr>
            <w:tcW w:type="dxa" w:w="1728"/>
          </w:tcPr>
          <w:p>
            <w:r>
              <w:rPr>
                <w:rFonts w:ascii="Calibri" w:hAnsi="Calibri"/>
                <w:sz w:val="22"/>
              </w:rPr>
              <w:t>~4%</w:t>
            </w:r>
          </w:p>
        </w:tc>
        <w:tc>
          <w:tcPr>
            <w:tcW w:type="dxa" w:w="1728"/>
          </w:tcPr>
          <w:p>
            <w:r>
              <w:rPr>
                <w:rFonts w:ascii="Calibri" w:hAnsi="Calibri"/>
                <w:sz w:val="22"/>
              </w:rPr>
              <w:t>—</w:t>
            </w:r>
          </w:p>
        </w:tc>
        <w:tc>
          <w:tcPr>
            <w:tcW w:type="dxa" w:w="1728"/>
          </w:tcPr>
          <w:p>
            <w:r>
              <w:rPr>
                <w:rFonts w:ascii="Calibri" w:hAnsi="Calibri"/>
                <w:sz w:val="22"/>
              </w:rPr>
              <w:t>~4.5%</w:t>
            </w:r>
          </w:p>
        </w:tc>
        <w:tc>
          <w:tcPr>
            <w:tcW w:type="dxa" w:w="1728"/>
          </w:tcPr>
          <w:p>
            <w:r>
              <w:rPr>
                <w:rFonts w:ascii="Calibri" w:hAnsi="Calibri"/>
                <w:sz w:val="22"/>
              </w:rPr>
              <w:t>Street slightly above guide; best quarter of FY26 per management</w:t>
            </w:r>
          </w:p>
        </w:tc>
      </w:tr>
      <w:tr>
        <w:tc>
          <w:tcPr>
            <w:tcW w:type="dxa" w:w="1728"/>
          </w:tcPr>
          <w:p>
            <w:r>
              <w:rPr>
                <w:rFonts w:ascii="Calibri" w:hAnsi="Calibri"/>
                <w:sz w:val="22"/>
              </w:rPr>
              <w:t>Q4 FY26 Adj. EPS</w:t>
            </w:r>
          </w:p>
        </w:tc>
        <w:tc>
          <w:tcPr>
            <w:tcW w:type="dxa" w:w="1728"/>
          </w:tcPr>
          <w:p>
            <w:r>
              <w:rPr>
                <w:rFonts w:ascii="Calibri" w:hAnsi="Calibri"/>
                <w:sz w:val="22"/>
              </w:rPr>
              <w:t>$8.16 (second time ever above $8)</w:t>
            </w:r>
          </w:p>
        </w:tc>
        <w:tc>
          <w:tcPr>
            <w:tcW w:type="dxa" w:w="1728"/>
          </w:tcPr>
          <w:p>
            <w:r>
              <w:rPr>
                <w:rFonts w:ascii="Calibri" w:hAnsi="Calibri"/>
                <w:sz w:val="22"/>
              </w:rPr>
              <w:t>—</w:t>
            </w:r>
          </w:p>
        </w:tc>
        <w:tc>
          <w:tcPr>
            <w:tcW w:type="dxa" w:w="1728"/>
          </w:tcPr>
          <w:p>
            <w:r>
              <w:rPr>
                <w:rFonts w:ascii="Calibri" w:hAnsi="Calibri"/>
                <w:sz w:val="22"/>
              </w:rPr>
              <w:t>$8.27</w:t>
            </w:r>
          </w:p>
        </w:tc>
        <w:tc>
          <w:tcPr>
            <w:tcW w:type="dxa" w:w="1728"/>
          </w:tcPr>
          <w:p>
            <w:r>
              <w:rPr>
                <w:rFonts w:ascii="Calibri" w:hAnsi="Calibri"/>
                <w:sz w:val="22"/>
              </w:rPr>
              <w:t>Consensus $0.11 above guide; consistent with PH’s conservative guidance pattern</w:t>
            </w:r>
          </w:p>
        </w:tc>
      </w:tr>
      <w:tr>
        <w:tc>
          <w:tcPr>
            <w:tcW w:type="dxa" w:w="1728"/>
          </w:tcPr>
          <w:p>
            <w:r>
              <w:rPr>
                <w:rFonts w:ascii="Calibri" w:hAnsi="Calibri"/>
                <w:sz w:val="22"/>
              </w:rPr>
              <w:t>Q4 FY26 Adj. Segment Op. Margin</w:t>
            </w:r>
          </w:p>
        </w:tc>
        <w:tc>
          <w:tcPr>
            <w:tcW w:type="dxa" w:w="1728"/>
          </w:tcPr>
          <w:p>
            <w:r>
              <w:rPr>
                <w:rFonts w:ascii="Calibri" w:hAnsi="Calibri"/>
                <w:sz w:val="22"/>
              </w:rPr>
              <w:t>27.4%</w:t>
            </w:r>
          </w:p>
        </w:tc>
        <w:tc>
          <w:tcPr>
            <w:tcW w:type="dxa" w:w="1728"/>
          </w:tcPr>
          <w:p>
            <w:r>
              <w:rPr>
                <w:rFonts w:ascii="Calibri" w:hAnsi="Calibri"/>
                <w:sz w:val="22"/>
              </w:rPr>
              <w:t>—</w:t>
            </w:r>
          </w:p>
        </w:tc>
        <w:tc>
          <w:tcPr>
            <w:tcW w:type="dxa" w:w="1728"/>
          </w:tcPr>
          <w:p>
            <w:r>
              <w:rPr>
                <w:rFonts w:ascii="Calibri" w:hAnsi="Calibri"/>
                <w:sz w:val="22"/>
              </w:rPr>
              <w:t>24.76% (VA basis)</w:t>
            </w:r>
          </w:p>
        </w:tc>
        <w:tc>
          <w:tcPr>
            <w:tcW w:type="dxa" w:w="1728"/>
          </w:tcPr>
          <w:p>
            <w:r>
              <w:rPr>
                <w:rFonts w:ascii="Calibri" w:hAnsi="Calibri"/>
                <w:sz w:val="22"/>
              </w:rPr>
              <w:t>Definitional difference between VA metric and management’s fully-loaded segment margin; management’s 27.4% is the operative target</w:t>
            </w:r>
          </w:p>
        </w:tc>
      </w:tr>
      <w:tr>
        <w:tc>
          <w:tcPr>
            <w:tcW w:type="dxa" w:w="1728"/>
          </w:tcPr>
          <w:p>
            <w:r>
              <w:rPr>
                <w:rFonts w:ascii="Calibri" w:hAnsi="Calibri"/>
                <w:sz w:val="22"/>
              </w:rPr>
              <w:t>Q4 FY26 Aerospace Organic Growth</w:t>
            </w:r>
          </w:p>
        </w:tc>
        <w:tc>
          <w:tcPr>
            <w:tcW w:type="dxa" w:w="1728"/>
          </w:tcPr>
          <w:p>
            <w:r>
              <w:rPr>
                <w:rFonts w:ascii="Calibri" w:hAnsi="Calibri"/>
                <w:sz w:val="22"/>
              </w:rPr>
              <w:t>~9% (raised from 7.5%)</w:t>
            </w:r>
          </w:p>
        </w:tc>
        <w:tc>
          <w:tcPr>
            <w:tcW w:type="dxa" w:w="1728"/>
          </w:tcPr>
          <w:p>
            <w:r>
              <w:rPr>
                <w:rFonts w:ascii="Calibri" w:hAnsi="Calibri"/>
                <w:sz w:val="22"/>
              </w:rPr>
              <w:t>—</w:t>
            </w:r>
          </w:p>
        </w:tc>
        <w:tc>
          <w:tcPr>
            <w:tcW w:type="dxa" w:w="1728"/>
          </w:tcPr>
          <w:p>
            <w:r>
              <w:rPr>
                <w:rFonts w:ascii="Calibri" w:hAnsi="Calibri"/>
                <w:sz w:val="22"/>
              </w:rPr>
              <w:t>~9% (in line)</w:t>
            </w:r>
          </w:p>
        </w:tc>
        <w:tc>
          <w:tcPr>
            <w:tcW w:type="dxa" w:w="1728"/>
          </w:tcPr>
          <w:p>
            <w:r>
              <w:rPr>
                <w:rFonts w:ascii="Calibri" w:hAnsi="Calibri"/>
                <w:sz w:val="22"/>
              </w:rPr>
              <w:t>Commercial OEM raised to low-20s growth; commercial MRO to low-teens</w:t>
            </w:r>
          </w:p>
        </w:tc>
      </w:tr>
      <w:tr>
        <w:tc>
          <w:tcPr>
            <w:tcW w:type="dxa" w:w="1728"/>
          </w:tcPr>
          <w:p>
            <w:r>
              <w:rPr>
                <w:rFonts w:ascii="Calibri" w:hAnsi="Calibri"/>
                <w:sz w:val="22"/>
              </w:rPr>
              <w:t>Q4 FY26 Industrial Organic Growth</w:t>
            </w:r>
          </w:p>
        </w:tc>
        <w:tc>
          <w:tcPr>
            <w:tcW w:type="dxa" w:w="1728"/>
          </w:tcPr>
          <w:p>
            <w:r>
              <w:rPr>
                <w:rFonts w:ascii="Calibri" w:hAnsi="Calibri"/>
                <w:sz w:val="22"/>
              </w:rPr>
              <w:t>3% (best of FY26)</w:t>
            </w:r>
          </w:p>
        </w:tc>
        <w:tc>
          <w:tcPr>
            <w:tcW w:type="dxa" w:w="1728"/>
          </w:tcPr>
          <w:p>
            <w:r>
              <w:rPr>
                <w:rFonts w:ascii="Calibri" w:hAnsi="Calibri"/>
                <w:sz w:val="22"/>
              </w:rPr>
              <w:t>—</w:t>
            </w:r>
          </w:p>
        </w:tc>
        <w:tc>
          <w:tcPr>
            <w:tcW w:type="dxa" w:w="1728"/>
          </w:tcPr>
          <w:p>
            <w:r>
              <w:rPr>
                <w:rFonts w:ascii="Calibri" w:hAnsi="Calibri"/>
                <w:sz w:val="22"/>
              </w:rPr>
              <w:t>~3%</w:t>
            </w:r>
          </w:p>
        </w:tc>
        <w:tc>
          <w:tcPr>
            <w:tcW w:type="dxa" w:w="1728"/>
          </w:tcPr>
          <w:p>
            <w:r>
              <w:rPr>
                <w:rFonts w:ascii="Calibri" w:hAnsi="Calibri"/>
                <w:sz w:val="22"/>
              </w:rPr>
              <w:t>Broad-based order improvement in both short and long cycle confirmed on call</w:t>
            </w:r>
          </w:p>
        </w:tc>
      </w:tr>
      <w:tr>
        <w:tc>
          <w:tcPr>
            <w:tcW w:type="dxa" w:w="1728"/>
          </w:tcPr>
          <w:p>
            <w:r>
              <w:rPr>
                <w:rFonts w:ascii="Calibri" w:hAnsi="Calibri"/>
                <w:sz w:val="22"/>
              </w:rPr>
              <w:t>FY26 Full-Year Organic Growth</w:t>
            </w:r>
          </w:p>
        </w:tc>
        <w:tc>
          <w:tcPr>
            <w:tcW w:type="dxa" w:w="1728"/>
          </w:tcPr>
          <w:p>
            <w:r>
              <w:rPr>
                <w:rFonts w:ascii="Calibri" w:hAnsi="Calibri"/>
                <w:sz w:val="22"/>
              </w:rPr>
              <w:t>5.5% midpoint (raised from 5.0%)</w:t>
            </w:r>
          </w:p>
        </w:tc>
        <w:tc>
          <w:tcPr>
            <w:tcW w:type="dxa" w:w="1728"/>
          </w:tcPr>
          <w:p>
            <w:r>
              <w:rPr>
                <w:rFonts w:ascii="Calibri" w:hAnsi="Calibri"/>
                <w:sz w:val="22"/>
              </w:rPr>
              <w:t>—</w:t>
            </w:r>
          </w:p>
        </w:tc>
        <w:tc>
          <w:tcPr>
            <w:tcW w:type="dxa" w:w="1728"/>
          </w:tcPr>
          <w:p>
            <w:r>
              <w:rPr>
                <w:rFonts w:ascii="Calibri" w:hAnsi="Calibri"/>
                <w:sz w:val="22"/>
              </w:rPr>
              <w:t>5.6%</w:t>
            </w:r>
          </w:p>
        </w:tc>
        <w:tc>
          <w:tcPr>
            <w:tcW w:type="dxa" w:w="1728"/>
          </w:tcPr>
          <w:p>
            <w:r>
              <w:rPr>
                <w:rFonts w:ascii="Calibri" w:hAnsi="Calibri"/>
                <w:sz w:val="22"/>
              </w:rPr>
              <w:t>Consensus tracking guidance; Aerospace raised to 12% for FY26</w:t>
            </w:r>
          </w:p>
        </w:tc>
      </w:tr>
      <w:tr>
        <w:tc>
          <w:tcPr>
            <w:tcW w:type="dxa" w:w="1728"/>
          </w:tcPr>
          <w:p>
            <w:r>
              <w:rPr>
                <w:rFonts w:ascii="Calibri" w:hAnsi="Calibri"/>
                <w:sz w:val="22"/>
              </w:rPr>
              <w:t>FY26 Full-Year Adj. EPS</w:t>
            </w:r>
          </w:p>
        </w:tc>
        <w:tc>
          <w:tcPr>
            <w:tcW w:type="dxa" w:w="1728"/>
          </w:tcPr>
          <w:p>
            <w:r>
              <w:rPr>
                <w:rFonts w:ascii="Calibri" w:hAnsi="Calibri"/>
                <w:sz w:val="22"/>
              </w:rPr>
              <w:t>$31.20 midpoint (+14.2% YoY; raised $0.50)</w:t>
            </w:r>
          </w:p>
        </w:tc>
        <w:tc>
          <w:tcPr>
            <w:tcW w:type="dxa" w:w="1728"/>
          </w:tcPr>
          <w:p>
            <w:r>
              <w:rPr>
                <w:rFonts w:ascii="Calibri" w:hAnsi="Calibri"/>
                <w:sz w:val="22"/>
              </w:rPr>
              <w:t>—</w:t>
            </w:r>
          </w:p>
        </w:tc>
        <w:tc>
          <w:tcPr>
            <w:tcW w:type="dxa" w:w="1728"/>
          </w:tcPr>
          <w:p>
            <w:r>
              <w:rPr>
                <w:rFonts w:ascii="Calibri" w:hAnsi="Calibri"/>
                <w:sz w:val="22"/>
              </w:rPr>
              <w:t>$31.31</w:t>
            </w:r>
          </w:p>
        </w:tc>
        <w:tc>
          <w:tcPr>
            <w:tcW w:type="dxa" w:w="1728"/>
          </w:tcPr>
          <w:p>
            <w:r>
              <w:rPr>
                <w:rFonts w:ascii="Calibri" w:hAnsi="Calibri"/>
                <w:sz w:val="22"/>
              </w:rPr>
              <w:t>Consensus $0.11 above guide; FY27 consensus at $34.07 implies ~9% growth</w:t>
            </w:r>
          </w:p>
        </w:tc>
      </w:tr>
      <w:tr>
        <w:tc>
          <w:tcPr>
            <w:tcW w:type="dxa" w:w="1728"/>
          </w:tcPr>
          <w:p>
            <w:r>
              <w:rPr>
                <w:rFonts w:ascii="Calibri" w:hAnsi="Calibri"/>
                <w:sz w:val="22"/>
              </w:rPr>
              <w:t>FY26 Full-Year Free Cash Flow</w:t>
            </w:r>
          </w:p>
        </w:tc>
        <w:tc>
          <w:tcPr>
            <w:tcW w:type="dxa" w:w="1728"/>
          </w:tcPr>
          <w:p>
            <w:r>
              <w:rPr>
                <w:rFonts w:ascii="Calibri" w:hAnsi="Calibri"/>
                <w:sz w:val="22"/>
              </w:rPr>
              <w:t>$3.3B–$3.6B ($3.45B midpoint; ~100% conversion)</w:t>
            </w:r>
          </w:p>
        </w:tc>
        <w:tc>
          <w:tcPr>
            <w:tcW w:type="dxa" w:w="1728"/>
          </w:tcPr>
          <w:p>
            <w:r>
              <w:rPr>
                <w:rFonts w:ascii="Calibri" w:hAnsi="Calibri"/>
                <w:sz w:val="22"/>
              </w:rPr>
              <w:t>—</w:t>
            </w:r>
          </w:p>
        </w:tc>
        <w:tc>
          <w:tcPr>
            <w:tcW w:type="dxa" w:w="1728"/>
          </w:tcPr>
          <w:p>
            <w:r>
              <w:rPr>
                <w:rFonts w:ascii="Calibri" w:hAnsi="Calibri"/>
                <w:sz w:val="22"/>
              </w:rPr>
              <w:t>$3.49B</w:t>
            </w:r>
          </w:p>
        </w:tc>
        <w:tc>
          <w:tcPr>
            <w:tcW w:type="dxa" w:w="1728"/>
          </w:tcPr>
          <w:p>
            <w:r>
              <w:rPr>
                <w:rFonts w:ascii="Calibri" w:hAnsi="Calibri"/>
                <w:sz w:val="22"/>
              </w:rPr>
              <w:t>Consensus at midpoint of guide; 16.2% of sales</w:t>
            </w:r>
          </w:p>
        </w:tc>
      </w:tr>
      <w:tr>
        <w:tc>
          <w:tcPr>
            <w:tcW w:type="dxa" w:w="1728"/>
          </w:tcPr>
          <w:p>
            <w:r>
              <w:rPr>
                <w:rFonts w:ascii="Calibri" w:hAnsi="Calibri"/>
                <w:sz w:val="22"/>
              </w:rPr>
              <w:t>FY26 Full-Year Adj. Segment Op. Margin</w:t>
            </w:r>
          </w:p>
        </w:tc>
        <w:tc>
          <w:tcPr>
            <w:tcW w:type="dxa" w:w="1728"/>
          </w:tcPr>
          <w:p>
            <w:r>
              <w:rPr>
                <w:rFonts w:ascii="Calibri" w:hAnsi="Calibri"/>
                <w:sz w:val="22"/>
              </w:rPr>
              <w:t>27.2% (+110 bps YoY; 40% incrementals)</w:t>
            </w:r>
          </w:p>
        </w:tc>
        <w:tc>
          <w:tcPr>
            <w:tcW w:type="dxa" w:w="1728"/>
          </w:tcPr>
          <w:p>
            <w:r>
              <w:rPr>
                <w:rFonts w:ascii="Calibri" w:hAnsi="Calibri"/>
                <w:sz w:val="22"/>
              </w:rPr>
              <w:t>—</w:t>
            </w:r>
          </w:p>
        </w:tc>
        <w:tc>
          <w:tcPr>
            <w:tcW w:type="dxa" w:w="1728"/>
          </w:tcPr>
          <w:p>
            <w:r>
              <w:rPr>
                <w:rFonts w:ascii="Calibri" w:hAnsi="Calibri"/>
                <w:sz w:val="22"/>
              </w:rPr>
              <w:t>24.42% (VA basis)</w:t>
            </w:r>
          </w:p>
        </w:tc>
        <w:tc>
          <w:tcPr>
            <w:tcW w:type="dxa" w:w="1728"/>
          </w:tcPr>
          <w:p>
            <w:r>
              <w:rPr>
                <w:rFonts w:ascii="Calibri" w:hAnsi="Calibri"/>
                <w:sz w:val="22"/>
              </w:rPr>
              <w:t>Definitional difference; management’s 27.2% is the operative target with margin expansion across all businesses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sharply higher since the April 30 print — Q4 EPS consensus jumped from $7.60 to $8.27 (+8.8%) and FY26 EPS from $29.58 to $31.31 (+5.8%) — tracking management’s raised guidance closely. </w:t>
      </w:r>
      <w:r>
        <w:rPr>
          <w:rFonts w:ascii="Calibri" w:hAnsi="Calibri"/>
          <w:color w:val="525866"/>
          <w:sz w:val="22"/>
        </w:rPr>
        <w:t>The gap between current consensus and guidance is narrow, suggesting the street has fully digested the Q3 raise; any further upside would need to come from execution above the guided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7, 2026 — Post-Q3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30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excl. Amort. (Q4 FY26)</w:t>
            </w:r>
          </w:p>
        </w:tc>
        <w:tc>
          <w:tcPr>
            <w:tcW w:type="dxa" w:w="1080"/>
          </w:tcPr>
          <w:p>
            <w:r>
              <w:rPr>
                <w:rFonts w:ascii="Calibri" w:hAnsi="Calibri"/>
                <w:sz w:val="22"/>
              </w:rPr>
              <w:t>$8.26</w:t>
            </w:r>
          </w:p>
        </w:tc>
        <w:tc>
          <w:tcPr>
            <w:tcW w:type="dxa" w:w="1080"/>
          </w:tcPr>
          <w:p>
            <w:r>
              <w:rPr>
                <w:rFonts w:ascii="Calibri" w:hAnsi="Calibri"/>
                <w:sz w:val="22"/>
              </w:rPr>
              <w:t>$8.27</w:t>
            </w:r>
          </w:p>
        </w:tc>
        <w:tc>
          <w:tcPr>
            <w:tcW w:type="dxa" w:w="1080"/>
          </w:tcPr>
          <w:p>
            <w:r>
              <w:rPr>
                <w:rFonts w:ascii="Calibri" w:hAnsi="Calibri"/>
                <w:sz w:val="22"/>
              </w:rPr>
              <w:t>+0.1%</w:t>
            </w:r>
          </w:p>
        </w:tc>
        <w:tc>
          <w:tcPr>
            <w:tcW w:type="dxa" w:w="1080"/>
          </w:tcPr>
          <w:p>
            <w:r>
              <w:rPr>
                <w:rFonts w:ascii="Calibri" w:hAnsi="Calibri"/>
                <w:sz w:val="22"/>
              </w:rPr>
              <w:t>$8.16</w:t>
            </w:r>
          </w:p>
        </w:tc>
        <w:tc>
          <w:tcPr>
            <w:tcW w:type="dxa" w:w="1080"/>
          </w:tcPr>
          <w:p>
            <w:r>
              <w:rPr>
                <w:rFonts w:ascii="Calibri" w:hAnsi="Calibri"/>
                <w:sz w:val="22"/>
              </w:rPr>
              <w:t>$8.16 (unchanged)</w:t>
            </w:r>
          </w:p>
        </w:tc>
        <w:tc>
          <w:tcPr>
            <w:tcW w:type="dxa" w:w="1080"/>
          </w:tcPr>
          <w:p>
            <w:r>
              <w:rPr>
                <w:rFonts w:ascii="Calibri" w:hAnsi="Calibri"/>
                <w:sz w:val="22"/>
              </w:rPr>
              <w:t>Flat</w:t>
            </w:r>
          </w:p>
        </w:tc>
        <w:tc>
          <w:tcPr>
            <w:tcW w:type="dxa" w:w="1080"/>
          </w:tcPr>
          <w:p>
            <w:r>
              <w:rPr>
                <w:rFonts w:ascii="Calibri" w:hAnsi="Calibri"/>
                <w:sz w:val="22"/>
              </w:rPr>
              <w:t>+1.4% above guide</w:t>
            </w:r>
          </w:p>
        </w:tc>
      </w:tr>
      <w:tr>
        <w:tc>
          <w:tcPr>
            <w:tcW w:type="dxa" w:w="1080"/>
          </w:tcPr>
          <w:p>
            <w:r>
              <w:rPr>
                <w:rFonts w:ascii="Calibri" w:hAnsi="Calibri"/>
                <w:sz w:val="22"/>
              </w:rPr>
              <w:t>Net Sales (Q4 FY26)</w:t>
            </w:r>
          </w:p>
        </w:tc>
        <w:tc>
          <w:tcPr>
            <w:tcW w:type="dxa" w:w="1080"/>
          </w:tcPr>
          <w:p>
            <w:r>
              <w:rPr>
                <w:rFonts w:ascii="Calibri" w:hAnsi="Calibri"/>
                <w:sz w:val="22"/>
              </w:rPr>
              <w:t>$5.575B</w:t>
            </w:r>
          </w:p>
        </w:tc>
        <w:tc>
          <w:tcPr>
            <w:tcW w:type="dxa" w:w="1080"/>
          </w:tcPr>
          <w:p>
            <w:r>
              <w:rPr>
                <w:rFonts w:ascii="Calibri" w:hAnsi="Calibri"/>
                <w:sz w:val="22"/>
              </w:rPr>
              <w:t>$5.573B</w:t>
            </w:r>
          </w:p>
        </w:tc>
        <w:tc>
          <w:tcPr>
            <w:tcW w:type="dxa" w:w="1080"/>
          </w:tcPr>
          <w:p>
            <w:r>
              <w:rPr>
                <w:rFonts w:ascii="Calibri" w:hAnsi="Calibri"/>
                <w:sz w:val="22"/>
              </w:rPr>
              <w:t>-0.0%</w:t>
            </w:r>
          </w:p>
        </w:tc>
        <w:tc>
          <w:tcPr>
            <w:tcW w:type="dxa" w:w="1080"/>
          </w:tcPr>
          <w:p>
            <w:r>
              <w:rPr>
                <w:rFonts w:ascii="Calibri" w:hAnsi="Calibri"/>
                <w:sz w:val="22"/>
              </w:rPr>
              <w:t>~$5.5B</w:t>
            </w:r>
          </w:p>
        </w:tc>
        <w:tc>
          <w:tcPr>
            <w:tcW w:type="dxa" w:w="1080"/>
          </w:tcPr>
          <w:p>
            <w:r>
              <w:rPr>
                <w:rFonts w:ascii="Calibri" w:hAnsi="Calibri"/>
                <w:sz w:val="22"/>
              </w:rPr>
              <w:t>~$5.5B (unchanged)</w:t>
            </w:r>
          </w:p>
        </w:tc>
        <w:tc>
          <w:tcPr>
            <w:tcW w:type="dxa" w:w="1080"/>
          </w:tcPr>
          <w:p>
            <w:r>
              <w:rPr>
                <w:rFonts w:ascii="Calibri" w:hAnsi="Calibri"/>
                <w:sz w:val="22"/>
              </w:rPr>
              <w:t>Flat</w:t>
            </w:r>
          </w:p>
        </w:tc>
        <w:tc>
          <w:tcPr>
            <w:tcW w:type="dxa" w:w="1080"/>
          </w:tcPr>
          <w:p>
            <w:r>
              <w:rPr>
                <w:rFonts w:ascii="Calibri" w:hAnsi="Calibri"/>
                <w:sz w:val="22"/>
              </w:rPr>
              <w:t>+1.3% above guide</w:t>
            </w:r>
          </w:p>
        </w:tc>
      </w:tr>
      <w:tr>
        <w:tc>
          <w:tcPr>
            <w:tcW w:type="dxa" w:w="1080"/>
          </w:tcPr>
          <w:p>
            <w:r>
              <w:rPr>
                <w:rFonts w:ascii="Calibri" w:hAnsi="Calibri"/>
                <w:sz w:val="22"/>
              </w:rPr>
              <w:t>Organic Growth % (Q4 FY26)</w:t>
            </w:r>
          </w:p>
        </w:tc>
        <w:tc>
          <w:tcPr>
            <w:tcW w:type="dxa" w:w="1080"/>
          </w:tcPr>
          <w:p>
            <w:r>
              <w:rPr>
                <w:rFonts w:ascii="Calibri" w:hAnsi="Calibri"/>
                <w:sz w:val="22"/>
              </w:rPr>
              <w:t>4.38%</w:t>
            </w:r>
          </w:p>
        </w:tc>
        <w:tc>
          <w:tcPr>
            <w:tcW w:type="dxa" w:w="1080"/>
          </w:tcPr>
          <w:p>
            <w:r>
              <w:rPr>
                <w:rFonts w:ascii="Calibri" w:hAnsi="Calibri"/>
                <w:sz w:val="22"/>
              </w:rPr>
              <w:t>4.45%</w:t>
            </w:r>
          </w:p>
        </w:tc>
        <w:tc>
          <w:tcPr>
            <w:tcW w:type="dxa" w:w="1080"/>
          </w:tcPr>
          <w:p>
            <w:r>
              <w:rPr>
                <w:rFonts w:ascii="Calibri" w:hAnsi="Calibri"/>
                <w:sz w:val="22"/>
              </w:rPr>
              <w:t>+0.2%</w:t>
            </w:r>
          </w:p>
        </w:tc>
        <w:tc>
          <w:tcPr>
            <w:tcW w:type="dxa" w:w="1080"/>
          </w:tcPr>
          <w:p>
            <w:r>
              <w:rPr>
                <w:rFonts w:ascii="Calibri" w:hAnsi="Calibri"/>
                <w:sz w:val="22"/>
              </w:rPr>
              <w:t>~4%</w:t>
            </w:r>
          </w:p>
        </w:tc>
        <w:tc>
          <w:tcPr>
            <w:tcW w:type="dxa" w:w="1080"/>
          </w:tcPr>
          <w:p>
            <w:r>
              <w:rPr>
                <w:rFonts w:ascii="Calibri" w:hAnsi="Calibri"/>
                <w:sz w:val="22"/>
              </w:rPr>
              <w:t>~4% (unchanged)</w:t>
            </w:r>
          </w:p>
        </w:tc>
        <w:tc>
          <w:tcPr>
            <w:tcW w:type="dxa" w:w="1080"/>
          </w:tcPr>
          <w:p>
            <w:r>
              <w:rPr>
                <w:rFonts w:ascii="Calibri" w:hAnsi="Calibri"/>
                <w:sz w:val="22"/>
              </w:rPr>
              <w:t>Flat</w:t>
            </w:r>
          </w:p>
        </w:tc>
        <w:tc>
          <w:tcPr>
            <w:tcW w:type="dxa" w:w="1080"/>
          </w:tcPr>
          <w:p>
            <w:r>
              <w:rPr>
                <w:rFonts w:ascii="Calibri" w:hAnsi="Calibri"/>
                <w:sz w:val="22"/>
              </w:rPr>
              <w:t>+45 bps above guide</w:t>
            </w:r>
          </w:p>
        </w:tc>
      </w:tr>
      <w:tr>
        <w:tc>
          <w:tcPr>
            <w:tcW w:type="dxa" w:w="1080"/>
          </w:tcPr>
          <w:p>
            <w:r>
              <w:rPr>
                <w:rFonts w:ascii="Calibri" w:hAnsi="Calibri"/>
                <w:sz w:val="22"/>
              </w:rPr>
              <w:t>Adj. EPS excl. Amort. (FY26)</w:t>
            </w:r>
          </w:p>
        </w:tc>
        <w:tc>
          <w:tcPr>
            <w:tcW w:type="dxa" w:w="1080"/>
          </w:tcPr>
          <w:p>
            <w:r>
              <w:rPr>
                <w:rFonts w:ascii="Calibri" w:hAnsi="Calibri"/>
                <w:sz w:val="22"/>
              </w:rPr>
              <w:t>$31.30</w:t>
            </w:r>
          </w:p>
        </w:tc>
        <w:tc>
          <w:tcPr>
            <w:tcW w:type="dxa" w:w="1080"/>
          </w:tcPr>
          <w:p>
            <w:r>
              <w:rPr>
                <w:rFonts w:ascii="Calibri" w:hAnsi="Calibri"/>
                <w:sz w:val="22"/>
              </w:rPr>
              <w:t>$31.31</w:t>
            </w:r>
          </w:p>
        </w:tc>
        <w:tc>
          <w:tcPr>
            <w:tcW w:type="dxa" w:w="1080"/>
          </w:tcPr>
          <w:p>
            <w:r>
              <w:rPr>
                <w:rFonts w:ascii="Calibri" w:hAnsi="Calibri"/>
                <w:sz w:val="22"/>
              </w:rPr>
              <w:t>+0.0%</w:t>
            </w:r>
          </w:p>
        </w:tc>
        <w:tc>
          <w:tcPr>
            <w:tcW w:type="dxa" w:w="1080"/>
          </w:tcPr>
          <w:p>
            <w:r>
              <w:rPr>
                <w:rFonts w:ascii="Calibri" w:hAnsi="Calibri"/>
                <w:sz w:val="22"/>
              </w:rPr>
              <w:t>$31.20 midpoint</w:t>
            </w:r>
          </w:p>
        </w:tc>
        <w:tc>
          <w:tcPr>
            <w:tcW w:type="dxa" w:w="1080"/>
          </w:tcPr>
          <w:p>
            <w:r>
              <w:rPr>
                <w:rFonts w:ascii="Calibri" w:hAnsi="Calibri"/>
                <w:sz w:val="22"/>
              </w:rPr>
              <w:t>$31.20 (unchanged)</w:t>
            </w:r>
          </w:p>
        </w:tc>
        <w:tc>
          <w:tcPr>
            <w:tcW w:type="dxa" w:w="1080"/>
          </w:tcPr>
          <w:p>
            <w:r>
              <w:rPr>
                <w:rFonts w:ascii="Calibri" w:hAnsi="Calibri"/>
                <w:sz w:val="22"/>
              </w:rPr>
              <w:t>Flat</w:t>
            </w:r>
          </w:p>
        </w:tc>
        <w:tc>
          <w:tcPr>
            <w:tcW w:type="dxa" w:w="1080"/>
          </w:tcPr>
          <w:p>
            <w:r>
              <w:rPr>
                <w:rFonts w:ascii="Calibri" w:hAnsi="Calibri"/>
                <w:sz w:val="22"/>
              </w:rPr>
              <w:t>+0.4% above guide</w:t>
            </w:r>
          </w:p>
        </w:tc>
      </w:tr>
      <w:tr>
        <w:tc>
          <w:tcPr>
            <w:tcW w:type="dxa" w:w="1080"/>
          </w:tcPr>
          <w:p>
            <w:r>
              <w:rPr>
                <w:rFonts w:ascii="Calibri" w:hAnsi="Calibri"/>
                <w:sz w:val="22"/>
              </w:rPr>
              <w:t>Net Sales (FY26)</w:t>
            </w:r>
          </w:p>
        </w:tc>
        <w:tc>
          <w:tcPr>
            <w:tcW w:type="dxa" w:w="1080"/>
          </w:tcPr>
          <w:p>
            <w:r>
              <w:rPr>
                <w:rFonts w:ascii="Calibri" w:hAnsi="Calibri"/>
                <w:sz w:val="22"/>
              </w:rPr>
              <w:t>$21.319B</w:t>
            </w:r>
          </w:p>
        </w:tc>
        <w:tc>
          <w:tcPr>
            <w:tcW w:type="dxa" w:w="1080"/>
          </w:tcPr>
          <w:p>
            <w:r>
              <w:rPr>
                <w:rFonts w:ascii="Calibri" w:hAnsi="Calibri"/>
                <w:sz w:val="22"/>
              </w:rPr>
              <w:t>$21.317B</w:t>
            </w:r>
          </w:p>
        </w:tc>
        <w:tc>
          <w:tcPr>
            <w:tcW w:type="dxa" w:w="1080"/>
          </w:tcPr>
          <w:p>
            <w:r>
              <w:rPr>
                <w:rFonts w:ascii="Calibri" w:hAnsi="Calibri"/>
                <w:sz w:val="22"/>
              </w:rPr>
              <w:t>-0.0%</w:t>
            </w:r>
          </w:p>
        </w:tc>
        <w:tc>
          <w:tcPr>
            <w:tcW w:type="dxa" w:w="1080"/>
          </w:tcPr>
          <w:p>
            <w:r>
              <w:rPr>
                <w:rFonts w:ascii="Calibri" w:hAnsi="Calibri"/>
                <w:sz w:val="22"/>
              </w:rPr>
              <w:t>7% reported growth</w:t>
            </w:r>
          </w:p>
        </w:tc>
        <w:tc>
          <w:tcPr>
            <w:tcW w:type="dxa" w:w="1080"/>
          </w:tcPr>
          <w:p>
            <w:r>
              <w:rPr>
                <w:rFonts w:ascii="Calibri" w:hAnsi="Calibri"/>
                <w:sz w:val="22"/>
              </w:rPr>
              <w:t>7% (unchanged)</w:t>
            </w:r>
          </w:p>
        </w:tc>
        <w:tc>
          <w:tcPr>
            <w:tcW w:type="dxa" w:w="1080"/>
          </w:tcPr>
          <w:p>
            <w:r>
              <w:rPr>
                <w:rFonts w:ascii="Calibri" w:hAnsi="Calibri"/>
                <w:sz w:val="22"/>
              </w:rPr>
              <w:t>Flat</w:t>
            </w:r>
          </w:p>
        </w:tc>
        <w:tc>
          <w:tcPr>
            <w:tcW w:type="dxa" w:w="1080"/>
          </w:tcPr>
          <w:p>
            <w:r>
              <w:rPr>
                <w:rFonts w:ascii="Calibri" w:hAnsi="Calibri"/>
                <w:sz w:val="22"/>
              </w:rPr>
              <w:t>In line</w:t>
            </w:r>
          </w:p>
        </w:tc>
      </w:tr>
      <w:tr>
        <w:tc>
          <w:tcPr>
            <w:tcW w:type="dxa" w:w="1080"/>
          </w:tcPr>
          <w:p>
            <w:r>
              <w:rPr>
                <w:rFonts w:ascii="Calibri" w:hAnsi="Calibri"/>
                <w:sz w:val="22"/>
              </w:rPr>
              <w:t>Free Cash Flow (FY26)</w:t>
            </w:r>
          </w:p>
        </w:tc>
        <w:tc>
          <w:tcPr>
            <w:tcW w:type="dxa" w:w="1080"/>
          </w:tcPr>
          <w:p>
            <w:r>
              <w:rPr>
                <w:rFonts w:ascii="Calibri" w:hAnsi="Calibri"/>
                <w:sz w:val="22"/>
              </w:rPr>
              <w:t>$3.493B</w:t>
            </w:r>
          </w:p>
        </w:tc>
        <w:tc>
          <w:tcPr>
            <w:tcW w:type="dxa" w:w="1080"/>
          </w:tcPr>
          <w:p>
            <w:r>
              <w:rPr>
                <w:rFonts w:ascii="Calibri" w:hAnsi="Calibri"/>
                <w:sz w:val="22"/>
              </w:rPr>
              <w:t>$3.494B</w:t>
            </w:r>
          </w:p>
        </w:tc>
        <w:tc>
          <w:tcPr>
            <w:tcW w:type="dxa" w:w="1080"/>
          </w:tcPr>
          <w:p>
            <w:r>
              <w:rPr>
                <w:rFonts w:ascii="Calibri" w:hAnsi="Calibri"/>
                <w:sz w:val="22"/>
              </w:rPr>
              <w:t>+0.0%</w:t>
            </w:r>
          </w:p>
        </w:tc>
        <w:tc>
          <w:tcPr>
            <w:tcW w:type="dxa" w:w="1080"/>
          </w:tcPr>
          <w:p>
            <w:r>
              <w:rPr>
                <w:rFonts w:ascii="Calibri" w:hAnsi="Calibri"/>
                <w:sz w:val="22"/>
              </w:rPr>
              <w:t>$3.3B–$3.6B</w:t>
            </w:r>
          </w:p>
        </w:tc>
        <w:tc>
          <w:tcPr>
            <w:tcW w:type="dxa" w:w="1080"/>
          </w:tcPr>
          <w:p>
            <w:r>
              <w:rPr>
                <w:rFonts w:ascii="Calibri" w:hAnsi="Calibri"/>
                <w:sz w:val="22"/>
              </w:rPr>
              <w:t>$3.3B–$3.6B (unchanged)</w:t>
            </w:r>
          </w:p>
        </w:tc>
        <w:tc>
          <w:tcPr>
            <w:tcW w:type="dxa" w:w="1080"/>
          </w:tcPr>
          <w:p>
            <w:r>
              <w:rPr>
                <w:rFonts w:ascii="Calibri" w:hAnsi="Calibri"/>
                <w:sz w:val="22"/>
              </w:rPr>
              <w:t>Flat</w:t>
            </w:r>
          </w:p>
        </w:tc>
        <w:tc>
          <w:tcPr>
            <w:tcW w:type="dxa" w:w="1080"/>
          </w:tcPr>
          <w:p>
            <w:r>
              <w:rPr>
                <w:rFonts w:ascii="Calibri" w:hAnsi="Calibri"/>
                <w:sz w:val="22"/>
              </w:rPr>
              <w:t>At midpoint</w:t>
            </w:r>
          </w:p>
        </w:tc>
      </w:tr>
      <w:tr>
        <w:tc>
          <w:tcPr>
            <w:tcW w:type="dxa" w:w="1080"/>
          </w:tcPr>
          <w:p>
            <w:r>
              <w:rPr>
                <w:rFonts w:ascii="Calibri" w:hAnsi="Calibri"/>
                <w:sz w:val="22"/>
              </w:rPr>
              <w:t>Adj. EPS excl. Amort. (FY27)</w:t>
            </w:r>
          </w:p>
        </w:tc>
        <w:tc>
          <w:tcPr>
            <w:tcW w:type="dxa" w:w="1080"/>
          </w:tcPr>
          <w:p>
            <w:r>
              <w:rPr>
                <w:rFonts w:ascii="Calibri" w:hAnsi="Calibri"/>
                <w:sz w:val="22"/>
              </w:rPr>
              <w:t>$34.14</w:t>
            </w:r>
          </w:p>
        </w:tc>
        <w:tc>
          <w:tcPr>
            <w:tcW w:type="dxa" w:w="1080"/>
          </w:tcPr>
          <w:p>
            <w:r>
              <w:rPr>
                <w:rFonts w:ascii="Calibri" w:hAnsi="Calibri"/>
                <w:sz w:val="22"/>
              </w:rPr>
              <w:t>$34.07</w:t>
            </w:r>
          </w:p>
        </w:tc>
        <w:tc>
          <w:tcPr>
            <w:tcW w:type="dxa" w:w="1080"/>
          </w:tcPr>
          <w:p>
            <w:r>
              <w:rPr>
                <w:rFonts w:ascii="Calibri" w:hAnsi="Calibri"/>
                <w:sz w:val="22"/>
              </w:rPr>
              <w:t>-0.2%</w:t>
            </w:r>
          </w:p>
        </w:tc>
        <w:tc>
          <w:tcPr>
            <w:tcW w:type="dxa" w:w="1080"/>
          </w:tcPr>
          <w:p>
            <w:r>
              <w:rPr>
                <w:rFonts w:ascii="Calibri" w:hAnsi="Calibri"/>
                <w:sz w:val="22"/>
              </w:rPr>
              <w:t>Record year (no specific guide)</w:t>
            </w:r>
          </w:p>
        </w:tc>
        <w:tc>
          <w:tcPr>
            <w:tcW w:type="dxa" w:w="1080"/>
          </w:tcPr>
          <w:p>
            <w:r>
              <w:rPr>
                <w:rFonts w:ascii="Calibri" w:hAnsi="Calibri"/>
                <w:sz w:val="22"/>
              </w:rPr>
              <w:t>Record year (no specific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(FY27)</w:t>
            </w:r>
          </w:p>
        </w:tc>
        <w:tc>
          <w:tcPr>
            <w:tcW w:type="dxa" w:w="1080"/>
          </w:tcPr>
          <w:p>
            <w:r>
              <w:rPr>
                <w:rFonts w:ascii="Calibri" w:hAnsi="Calibri"/>
                <w:sz w:val="22"/>
              </w:rPr>
              <w:t>$22.644B</w:t>
            </w:r>
          </w:p>
        </w:tc>
        <w:tc>
          <w:tcPr>
            <w:tcW w:type="dxa" w:w="1080"/>
          </w:tcPr>
          <w:p>
            <w:r>
              <w:rPr>
                <w:rFonts w:ascii="Calibri" w:hAnsi="Calibri"/>
                <w:sz w:val="22"/>
              </w:rPr>
              <w:t>$22.623B</w:t>
            </w:r>
          </w:p>
        </w:tc>
        <w:tc>
          <w:tcPr>
            <w:tcW w:type="dxa" w:w="1080"/>
          </w:tcPr>
          <w:p>
            <w:r>
              <w:rPr>
                <w:rFonts w:ascii="Calibri" w:hAnsi="Calibri"/>
                <w:sz w:val="22"/>
              </w:rPr>
              <w:t>-0.1%</w:t>
            </w:r>
          </w:p>
        </w:tc>
        <w:tc>
          <w:tcPr>
            <w:tcW w:type="dxa" w:w="1080"/>
          </w:tcPr>
          <w:p>
            <w:r>
              <w:rPr>
                <w:rFonts w:ascii="Calibri" w:hAnsi="Calibri"/>
                <w:sz w:val="22"/>
              </w:rPr>
              <w:t>Record year (no specific guide)</w:t>
            </w:r>
          </w:p>
        </w:tc>
        <w:tc>
          <w:tcPr>
            <w:tcW w:type="dxa" w:w="1080"/>
          </w:tcPr>
          <w:p>
            <w:r>
              <w:rPr>
                <w:rFonts w:ascii="Calibri" w:hAnsi="Calibri"/>
                <w:sz w:val="22"/>
              </w:rPr>
              <w:t>Record year (no specific guide)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been remarkably stable since the post-Q3 reset — virtually no revision in the ~3 months since the April 30 print, confirming the street has fully absorbed the guidance raise. The FY27 consensus of $34.07 EPS implies ~9% growth, consistent with management’s explicit confidence in another record year. Source: Visible Alpha Consensus and Actuals Data (as-of date: May 7, 2026 for baseline; latest for current).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PH has outperformed both XLI (+6.7%) and the S&amp;P 500 (+7.1%) since the April 30 earnings, rising ~9.6% to ~$997 — driven by a combination of estimate revisions (EPS consensus up ~8.8% post-print) and modest multiple expansion, suggesting the market is pricing in continued execution but has not yet fully re-rated for the Filtration Group acquisition.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PH vs. XLI (Industrials ETF) vs. S&amp;P 500 (SPY) — Indexed to 100 at April 30, 2026 (Q3 FY2026 Earnings). Source: Stock Price Data.</w:t>
      </w:r>
    </w:p>
    <w:p>
      <w:r>
        <w:rPr>
          <w:rFonts w:ascii="Calibri" w:hAnsi="Calibri"/>
          <w:b/>
          <w:color w:val="525866"/>
          <w:sz w:val="22"/>
        </w:rPr>
        <w:t xml:space="preserve">Performance Summary (Apr 30 – Aug 5, 2026): </w:t>
      </w:r>
      <w:r>
        <w:rPr>
          <w:rFonts w:ascii="Calibri" w:hAnsi="Calibri"/>
          <w:color w:val="525866"/>
          <w:sz w:val="22"/>
        </w:rPr>
        <w:t>PH: +9.6% ($909.42 → ~$997) | XLI: +6.7% | SPY: +7.1%. PH outperformed the industrials sector ETF by ~290 bps and the S&amp;P 500 by ~250 bps over the period. The stock dipped modestly in early May (post-earnings digestion), then rallied steadily through June and July as industrial recovery data broadened and the Filtration Group acquisition timeline remained on track. The stock is approaching the $1,000 level heading into the print. Sector ETF used: XLI (Industrial Select Sector SPDR Fund) — appropriate for PH’s diversified industrial and aerospace sub-sector exposure.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April 30 earnings is the continued progress toward closing the Filtration Group acquisition (expected within 12 months of the November 2025 announcement, i.e., by November 2026) — any update on regulatory clearance at tomorrow’s call could be the single biggest stock catalyst.</w:t>
      </w:r>
    </w:p>
    <w:p>
      <w:pPr>
        <w:pStyle w:val="ListBullet"/>
        <w:ind w:left="360" w:hanging="360"/>
      </w:pPr>
      <w:r>
        <w:rPr>
          <w:rFonts w:ascii="Calibri" w:hAnsi="Calibri"/>
          <w:color w:val="525866"/>
          <w:sz w:val="22"/>
        </w:rPr>
        <w:t xml:space="preserve">July 27, 2026 — PH confirms Q4 FY2026 earnings release for August 6, 2026 (before market open), with conference call at 11:00 a.m. ET. </w:t>
      </w:r>
      <w:r>
        <w:rPr>
          <w:rFonts w:ascii="Calibri" w:hAnsi="Calibri"/>
          <w:b/>
          <w:color w:val="525866"/>
          <w:sz w:val="22"/>
        </w:rPr>
        <w:t xml:space="preserve">Implication: </w:t>
      </w:r>
      <w:r>
        <w:rPr>
          <w:rFonts w:ascii="Calibri" w:hAnsi="Calibri"/>
          <w:color w:val="525866"/>
          <w:sz w:val="22"/>
        </w:rPr>
        <w:t>No pre-announcement or guidance update was issued alongside the earnings date announcement, suggesting results are tracking in line with guidance.</w:t>
      </w:r>
    </w:p>
    <w:p>
      <w:pPr>
        <w:pStyle w:val="ListBullet"/>
        <w:ind w:left="360" w:hanging="360"/>
      </w:pPr>
      <w:r>
        <w:rPr>
          <w:rFonts w:ascii="Calibri" w:hAnsi="Calibri"/>
          <w:color w:val="525866"/>
          <w:sz w:val="22"/>
        </w:rPr>
        <w:t xml:space="preserve">April 30, 2026 — Q3 FY2026 earnings: Record adjusted EPS of $8.17 (first time ever above $8 in a single quarter), record adjusted net income above $1B, record total backlog of $12.5B (Aerospace backlog $8.4B, Industrial backlog &gt;$4B). </w:t>
      </w:r>
      <w:r>
        <w:rPr>
          <w:rFonts w:ascii="Calibri" w:hAnsi="Calibri"/>
          <w:color w:val="525866"/>
          <w:sz w:val="22"/>
        </w:rPr>
        <w:t xml:space="preserve">Full-year guidance raised across organic growth (to 5.5%), EPS (to $31.20 midpoint), and free cash flow (to $3.3B–$3.6B). Dividend raised for the 70th consecutive fiscal year. </w:t>
      </w:r>
      <w:r>
        <w:rPr>
          <w:rFonts w:ascii="Calibri" w:hAnsi="Calibri"/>
          <w:b/>
          <w:color w:val="525866"/>
          <w:sz w:val="22"/>
        </w:rPr>
        <w:t xml:space="preserve">Implication: </w:t>
      </w:r>
      <w:r>
        <w:rPr>
          <w:rFonts w:ascii="Calibri" w:hAnsi="Calibri"/>
          <w:color w:val="525866"/>
          <w:sz w:val="22"/>
        </w:rPr>
        <w:t>Sets a high bar for Q4 but management’s explicit confidence in FY27 as another record year provides a forward catalyst.</w:t>
      </w:r>
    </w:p>
    <w:p>
      <w:pPr>
        <w:pStyle w:val="ListBullet"/>
        <w:ind w:left="360" w:hanging="360"/>
      </w:pPr>
      <w:r>
        <w:rPr>
          <w:rFonts w:ascii="Calibri" w:hAnsi="Calibri"/>
          <w:b/>
          <w:color w:val="525866"/>
          <w:sz w:val="22"/>
        </w:rPr>
        <w:t xml:space="preserve">April 30, 2026 — Filtration Group acquisition update: </w:t>
      </w:r>
      <w:r>
        <w:rPr>
          <w:rFonts w:ascii="Calibri" w:hAnsi="Calibri"/>
          <w:color w:val="525866"/>
          <w:sz w:val="22"/>
        </w:rPr>
        <w:t xml:space="preserve">Integration planning underway with teams formed on both sides; $220M synergy target by end of Year 3 reaffirmed; closing still expected within 12 months of November 2025 announcement; leverage not expected to surpass 3x at close, with de-levering plan to ~2x faster than prior acquisitions. </w:t>
      </w:r>
      <w:r>
        <w:rPr>
          <w:rFonts w:ascii="Calibri" w:hAnsi="Calibri"/>
          <w:b/>
          <w:color w:val="525866"/>
          <w:sz w:val="22"/>
        </w:rPr>
        <w:t xml:space="preserve">Implication: </w:t>
      </w:r>
      <w:r>
        <w:rPr>
          <w:rFonts w:ascii="Calibri" w:hAnsi="Calibri"/>
          <w:color w:val="525866"/>
          <w:sz w:val="22"/>
        </w:rPr>
        <w:t>Any regulatory clearance update at tomorrow’s call is the key wildcard — deal close would be transformative for aftermarket mix and Life Sciences exposure.</w:t>
      </w:r>
    </w:p>
    <w:p>
      <w:pPr>
        <w:pStyle w:val="ListBullet"/>
        <w:ind w:left="360" w:hanging="360"/>
      </w:pPr>
      <w:r>
        <w:rPr>
          <w:rFonts w:ascii="Calibri" w:hAnsi="Calibri"/>
          <w:b/>
          <w:color w:val="525866"/>
          <w:sz w:val="22"/>
        </w:rPr>
        <w:t xml:space="preserve">April 30, 2026 — Mineral Wells, Texas facility weather event: </w:t>
      </w:r>
      <w:r>
        <w:rPr>
          <w:rFonts w:ascii="Calibri" w:hAnsi="Calibri"/>
          <w:color w:val="525866"/>
          <w:sz w:val="22"/>
        </w:rPr>
        <w:t xml:space="preserve">Severe weather caused damage to a Parker facility; management stated no material impact expected to overall Parker results. </w:t>
      </w:r>
      <w:r>
        <w:rPr>
          <w:rFonts w:ascii="Calibri" w:hAnsi="Calibri"/>
          <w:b/>
          <w:color w:val="525866"/>
          <w:sz w:val="22"/>
        </w:rPr>
        <w:t xml:space="preserve">Implication: </w:t>
      </w:r>
      <w:r>
        <w:rPr>
          <w:rFonts w:ascii="Calibri" w:hAnsi="Calibri"/>
          <w:color w:val="525866"/>
          <w:sz w:val="22"/>
        </w:rPr>
        <w:t>Monitoring for any Q4 impact disclosure, though management characterized it as immaterial.</w:t>
      </w:r>
    </w:p>
    <w:p>
      <w:pPr>
        <w:pStyle w:val="ListBullet"/>
        <w:ind w:left="360" w:hanging="360"/>
      </w:pPr>
      <w:r>
        <w:rPr>
          <w:rFonts w:ascii="Calibri" w:hAnsi="Calibri"/>
          <w:b/>
          <w:color w:val="525866"/>
          <w:sz w:val="22"/>
        </w:rPr>
        <w:t xml:space="preserve">April 30, 2026 — Tariff and macro resilience: </w:t>
      </w:r>
      <w:r>
        <w:rPr>
          <w:rFonts w:ascii="Calibri" w:hAnsi="Calibri"/>
          <w:color w:val="525866"/>
          <w:sz w:val="22"/>
        </w:rPr>
        <w:t xml:space="preserve">Management fielded multiple questions on tariff impact and Middle East disruption; characterized price-cost management as a core Win Strategy muscle with no expected earnings impact. Any tariff refunds treated as contingency gains, not forecasted income. </w:t>
      </w:r>
      <w:r>
        <w:rPr>
          <w:rFonts w:ascii="Calibri" w:hAnsi="Calibri"/>
          <w:b/>
          <w:color w:val="525866"/>
          <w:sz w:val="22"/>
        </w:rPr>
        <w:t xml:space="preserve">Implication: </w:t>
      </w:r>
      <w:r>
        <w:rPr>
          <w:rFonts w:ascii="Calibri" w:hAnsi="Calibri"/>
          <w:color w:val="525866"/>
          <w:sz w:val="22"/>
        </w:rPr>
        <w:t>Tariff environment remains a watch item but PH has demonstrated consistent ability to offset with pricing.</w:t>
      </w:r>
    </w:p>
    <w:p>
      <w:pPr>
        <w:pStyle w:val="ListBullet"/>
        <w:ind w:left="360" w:hanging="360"/>
      </w:pPr>
      <w:r>
        <w:rPr>
          <w:rFonts w:ascii="Calibri" w:hAnsi="Calibri"/>
          <w:b/>
          <w:color w:val="525866"/>
          <w:sz w:val="22"/>
        </w:rPr>
        <w:t xml:space="preserve">Ongoing — Industrial recovery broadening: </w:t>
      </w:r>
      <w:r>
        <w:rPr>
          <w:rFonts w:ascii="Calibri" w:hAnsi="Calibri"/>
          <w:color w:val="525866"/>
          <w:sz w:val="22"/>
        </w:rPr>
        <w:t xml:space="preserve">Q3 FY2026 orders were “more broad-based and positive on both short and long cycle on the industrial side of business than we’ve seen really all of this fiscal year.” Distributors ordering to demand (no restocking). Asia Pacific raised to positive high single-digit for FY26. </w:t>
      </w:r>
      <w:r>
        <w:rPr>
          <w:rFonts w:ascii="Calibri" w:hAnsi="Calibri"/>
          <w:b/>
          <w:color w:val="525866"/>
          <w:sz w:val="22"/>
        </w:rPr>
        <w:t xml:space="preserve">Implication: </w:t>
      </w:r>
      <w:r>
        <w:rPr>
          <w:rFonts w:ascii="Calibri" w:hAnsi="Calibri"/>
          <w:color w:val="525866"/>
          <w:sz w:val="22"/>
        </w:rPr>
        <w:t>Supports the Q4 industrial organic growth guide of 3% (best of FY26) and provides a positive setup for FY27.</w:t>
      </w:r>
    </w:p>
    <w:p>
      <w:pPr>
        <w:pStyle w:val="ListBullet"/>
        <w:ind w:left="360" w:hanging="360"/>
      </w:pPr>
      <w:r>
        <w:rPr>
          <w:rFonts w:ascii="Calibri" w:hAnsi="Calibri"/>
          <w:b/>
          <w:color w:val="525866"/>
          <w:sz w:val="22"/>
        </w:rPr>
        <w:t xml:space="preserve">Ongoing — Aerospace supercycle intact: </w:t>
      </w:r>
      <w:r>
        <w:rPr>
          <w:rFonts w:ascii="Calibri" w:hAnsi="Calibri"/>
          <w:color w:val="525866"/>
          <w:sz w:val="22"/>
        </w:rPr>
        <w:t xml:space="preserve">Record aerospace backlog of $8.4B (up 5% sequentially); commercial OEM raised to low-20s growth in Q4; commercial MRO raised to low-teens. Defense OEM and MRO both guided to positive growth. </w:t>
      </w:r>
      <w:r>
        <w:rPr>
          <w:rFonts w:ascii="Calibri" w:hAnsi="Calibri"/>
          <w:b/>
          <w:color w:val="525866"/>
          <w:sz w:val="22"/>
        </w:rPr>
        <w:t xml:space="preserve">Implication: </w:t>
      </w:r>
      <w:r>
        <w:rPr>
          <w:rFonts w:ascii="Calibri" w:hAnsi="Calibri"/>
          <w:color w:val="525866"/>
          <w:sz w:val="22"/>
        </w:rPr>
        <w:t>Multi-year revenue visibility from backlog reduces downside risk to aerospace segment.</w:t>
      </w:r>
    </w:p>
    <w:p>
      <w:r>
        <w:br w:type="page"/>
      </w:r>
    </w:p>
    <w:p>
      <w:pPr>
        <w:pStyle w:val="Heading2"/>
      </w:pPr>
      <w:r>
        <w:rPr>
          <w:rFonts w:ascii="Calibri" w:hAnsi="Calibri"/>
          <w:b/>
          <w:color w:val="3B4259"/>
          <w:sz w:val="28"/>
        </w:rPr>
        <w:t>7. Peer Commentaries — Read-Through</w:t>
      </w:r>
    </w:p>
    <w:p>
      <w:r>
        <w:rPr>
          <w:rFonts w:ascii="Calibri" w:hAnsi="Calibri"/>
          <w:color w:val="525866"/>
          <w:sz w:val="22"/>
        </w:rPr>
        <w:t>The following peer commentaries are drawn from earnings calls and conferences held in the last 60 days (May–August 2026) covering the same calendar period as PH’s Q4 FY2026 (April–June 2026). Only commentary about current-quarter demand trends, end markets, and forward outlook is included — prior-quarter result discussions are excluded.</w:t>
      </w:r>
    </w:p>
    <w:p>
      <w:pPr>
        <w:pStyle w:val="Heading3"/>
      </w:pPr>
      <w:r>
        <w:rPr>
          <w:rFonts w:ascii="Calibri" w:hAnsi="Calibri"/>
          <w:b/>
          <w:color w:val="3B4259"/>
          <w:sz w:val="24"/>
        </w:rPr>
        <w:t>Eaton (ETN) — Q2 2026 Earnings (July 31, 2026)</w:t>
      </w:r>
    </w:p>
    <w:p>
      <w:r>
        <w:rPr>
          <w:rFonts w:ascii="Calibri" w:hAnsi="Calibri"/>
          <w:b/>
          <w:color w:val="525866"/>
          <w:sz w:val="22"/>
        </w:rPr>
        <w:t xml:space="preserve">Relevance to PH: </w:t>
      </w:r>
      <w:r>
        <w:rPr>
          <w:rFonts w:ascii="Calibri" w:hAnsi="Calibri"/>
          <w:color w:val="525866"/>
          <w:sz w:val="22"/>
        </w:rPr>
        <w:t>ETN is PH’s closest peer in aerospace and industrial motion/control. ETN’s Q2 2026 covers the same calendar quarter as PH’s Q4 FY2026 (April–June 2026).</w:t>
      </w:r>
    </w:p>
    <w:p>
      <w:pPr>
        <w:pStyle w:val="ListBullet"/>
        <w:ind w:left="360" w:hanging="360"/>
      </w:pPr>
      <w:r>
        <w:rPr>
          <w:rFonts w:ascii="Calibri" w:hAnsi="Calibri"/>
          <w:b/>
          <w:color w:val="525866"/>
          <w:sz w:val="22"/>
        </w:rPr>
        <w:t xml:space="preserve">Aerospace demand remains strong: </w:t>
      </w:r>
      <w:r>
        <w:rPr>
          <w:rFonts w:ascii="Calibri" w:hAnsi="Calibri"/>
          <w:b/>
          <w:color w:val="30A46C"/>
          <w:sz w:val="22"/>
        </w:rPr>
        <w:t xml:space="preserve">ETN reported 7% organic aerospace growth in Q2 2026, with record quarterly sales and record segment profit. Strength was concentrated in commercial OEM and commercial aftermarket. Book-to-bill expanded to 1.2 in aerospace. </w:t>
      </w:r>
      <w:r>
        <w:rPr>
          <w:rFonts w:ascii="Calibri" w:hAnsi="Calibri"/>
          <w:b/>
          <w:color w:val="525866"/>
          <w:sz w:val="22"/>
        </w:rPr>
        <w:t xml:space="preserve"> → </w:t>
      </w:r>
      <w:r>
        <w:rPr>
          <w:rFonts w:ascii="Calibri" w:hAnsi="Calibri"/>
          <w:color w:val="525866"/>
          <w:sz w:val="22"/>
        </w:rPr>
        <w:t>Read-through: Directly supports PH’s Q4 aerospace guide of ~9% organic growth and record backlog thesis. Commercial OEM and aftermarket strength is a shared tailwind.</w:t>
      </w:r>
    </w:p>
    <w:p>
      <w:pPr>
        <w:pStyle w:val="ListBullet"/>
        <w:ind w:left="360" w:hanging="360"/>
      </w:pPr>
      <w:r>
        <w:rPr>
          <w:rFonts w:ascii="Calibri" w:hAnsi="Calibri"/>
          <w:b/>
          <w:color w:val="525866"/>
          <w:sz w:val="22"/>
        </w:rPr>
        <w:t xml:space="preserve">Industrial machine OEM recovering strongly: </w:t>
      </w:r>
      <w:r>
        <w:rPr>
          <w:rFonts w:ascii="Calibri" w:hAnsi="Calibri"/>
          <w:b/>
          <w:color w:val="30A46C"/>
          <w:sz w:val="22"/>
        </w:rPr>
        <w:t xml:space="preserve">ETN noted machine OEM recovering “really strongly, also double digits” with orders in the mid-30s. Electrical Americas organic growth of 18% driven by data centers, machine OEM, and commercial/institutional. </w:t>
      </w:r>
      <w:r>
        <w:rPr>
          <w:rFonts w:ascii="Calibri" w:hAnsi="Calibri"/>
          <w:b/>
          <w:color w:val="525866"/>
          <w:sz w:val="22"/>
        </w:rPr>
        <w:t xml:space="preserve"> → </w:t>
      </w:r>
      <w:r>
        <w:rPr>
          <w:rFonts w:ascii="Calibri" w:hAnsi="Calibri"/>
          <w:color w:val="525866"/>
          <w:sz w:val="22"/>
        </w:rPr>
        <w:t>Read-through: Positive for PH’s Diversified Industrial North America segment, which is guided to 3% organic growth in Q4 — machine OEM strength is a direct overlap.</w:t>
      </w:r>
    </w:p>
    <w:p>
      <w:pPr>
        <w:pStyle w:val="ListBullet"/>
        <w:ind w:left="360" w:hanging="360"/>
      </w:pPr>
      <w:r>
        <w:rPr>
          <w:rFonts w:ascii="Calibri" w:hAnsi="Calibri"/>
          <w:b/>
          <w:color w:val="525866"/>
          <w:sz w:val="22"/>
        </w:rPr>
        <w:t xml:space="preserve">Broad-based demand across end markets: </w:t>
      </w:r>
      <w:r>
        <w:rPr>
          <w:rFonts w:ascii="Calibri" w:hAnsi="Calibri"/>
          <w:b/>
          <w:color w:val="30A46C"/>
          <w:sz w:val="22"/>
        </w:rPr>
        <w:t xml:space="preserve">ETN raised full-year organic growth guidance by 200 bps to 12% midpoint and raised EPS midpoint to $13.50. Total company book-to-bill remained at 1.2. Management stated they are “confidently entering the back half of 2026 and very well positioned to extend momentum into 2027.” </w:t>
      </w:r>
      <w:r>
        <w:rPr>
          <w:rFonts w:ascii="Calibri" w:hAnsi="Calibri"/>
          <w:b/>
          <w:color w:val="525866"/>
          <w:sz w:val="22"/>
        </w:rPr>
        <w:t xml:space="preserve"> → </w:t>
      </w:r>
      <w:r>
        <w:rPr>
          <w:rFonts w:ascii="Calibri" w:hAnsi="Calibri"/>
          <w:color w:val="525866"/>
          <w:sz w:val="22"/>
        </w:rPr>
        <w:t>Read-through: Broad industrial demand confirmation supports PH’s Q4 organic growth guide and FY27 record year outlook.</w:t>
      </w:r>
    </w:p>
    <w:p>
      <w:pPr>
        <w:pStyle w:val="ListBullet"/>
        <w:ind w:left="360" w:hanging="360"/>
      </w:pPr>
      <w:r>
        <w:rPr>
          <w:rFonts w:ascii="Calibri" w:hAnsi="Calibri"/>
          <w:b/>
          <w:color w:val="525866"/>
          <w:sz w:val="22"/>
        </w:rPr>
        <w:t xml:space="preserve">Price-cost headwind in Electrical Americas: </w:t>
      </w:r>
      <w:r>
        <w:rPr>
          <w:rFonts w:ascii="Calibri" w:hAnsi="Calibri"/>
          <w:b/>
          <w:color w:val="E5484D"/>
          <w:sz w:val="22"/>
        </w:rPr>
        <w:t xml:space="preserve">ETN flagged temporary negative price-cost in Q2 (timing lag between inflation and price increases), with H2 expected to recover 450–500 bps vs. H1. Pricing actions implemented in Q2 and early Q3. </w:t>
      </w:r>
      <w:r>
        <w:rPr>
          <w:rFonts w:ascii="Calibri" w:hAnsi="Calibri"/>
          <w:b/>
          <w:color w:val="525866"/>
          <w:sz w:val="22"/>
        </w:rPr>
        <w:t xml:space="preserve"> → </w:t>
      </w:r>
      <w:r>
        <w:rPr>
          <w:rFonts w:ascii="Calibri" w:hAnsi="Calibri"/>
          <w:color w:val="525866"/>
          <w:sz w:val="22"/>
        </w:rPr>
        <w:t>Read-through: Modest risk flag for PH’s margin guide — if raw material inflation (resins, crude oil derivatives) is broader than expected, PH’s 27.4% Q4 segment margin guide could face pressure, though PH has historically managed price-cost well.</w:t>
      </w:r>
    </w:p>
    <w:p>
      <w:pPr>
        <w:pStyle w:val="Heading3"/>
      </w:pPr>
      <w:r>
        <w:rPr>
          <w:rFonts w:ascii="Calibri" w:hAnsi="Calibri"/>
          <w:b/>
          <w:color w:val="3B4259"/>
          <w:sz w:val="24"/>
        </w:rPr>
        <w:t>Ametek (AME) — Q2 2026 Earnings (August 4, 2026)</w:t>
      </w:r>
    </w:p>
    <w:p>
      <w:r>
        <w:rPr>
          <w:rFonts w:ascii="Calibri" w:hAnsi="Calibri"/>
          <w:b/>
          <w:color w:val="525866"/>
          <w:sz w:val="22"/>
        </w:rPr>
        <w:t xml:space="preserve">Relevance to PH: </w:t>
      </w:r>
      <w:r>
        <w:rPr>
          <w:rFonts w:ascii="Calibri" w:hAnsi="Calibri"/>
          <w:color w:val="525866"/>
          <w:sz w:val="22"/>
        </w:rPr>
        <w:t>AME is a high-quality industrial compounder with significant aerospace, defense, and process instrumentation exposure. AME’s Q2 2026 covers the same calendar quarter as PH’s Q4 FY2026.</w:t>
      </w:r>
    </w:p>
    <w:p>
      <w:pPr>
        <w:pStyle w:val="ListBullet"/>
        <w:ind w:left="360" w:hanging="360"/>
      </w:pPr>
      <w:r>
        <w:rPr>
          <w:rFonts w:ascii="Calibri" w:hAnsi="Calibri"/>
          <w:b/>
          <w:color w:val="525866"/>
          <w:sz w:val="22"/>
        </w:rPr>
        <w:t xml:space="preserve">Record orders and backlog — industrial inflection confirmed: </w:t>
      </w:r>
      <w:r>
        <w:rPr>
          <w:rFonts w:ascii="Calibri" w:hAnsi="Calibri"/>
          <w:b/>
          <w:color w:val="30A46C"/>
          <w:sz w:val="22"/>
        </w:rPr>
        <w:t xml:space="preserve">AME reported record Q2 orders of $2.3B (+28% YoY, organic +25%), record backlog of $4.11B (+21% from year-end), and book-to-bill of 1.12. Management noted a “significant and positive inflection in the non-data center part of the industrial economy” — a “two-speed economy” where both AI infrastructure and traditional industrial are now growing. June was an all-time record month for orders, and July orders were “very good.” </w:t>
      </w:r>
      <w:r>
        <w:rPr>
          <w:rFonts w:ascii="Calibri" w:hAnsi="Calibri"/>
          <w:b/>
          <w:color w:val="525866"/>
          <w:sz w:val="22"/>
        </w:rPr>
        <w:t xml:space="preserve"> → </w:t>
      </w:r>
      <w:r>
        <w:rPr>
          <w:rFonts w:ascii="Calibri" w:hAnsi="Calibri"/>
          <w:color w:val="525866"/>
          <w:sz w:val="22"/>
        </w:rPr>
        <w:t>Read-through: Strongly positive for PH’s Q4 industrial organic growth guide of 3% and management’s commentary about broad-based order improvement in both short and long cycle.</w:t>
      </w:r>
    </w:p>
    <w:p>
      <w:pPr>
        <w:pStyle w:val="ListBullet"/>
        <w:ind w:left="360" w:hanging="360"/>
      </w:pPr>
      <w:r>
        <w:rPr>
          <w:rFonts w:ascii="Calibri" w:hAnsi="Calibri"/>
          <w:b/>
          <w:color w:val="525866"/>
          <w:sz w:val="22"/>
        </w:rPr>
        <w:t xml:space="preserve">Aerospace and defense demand robust: </w:t>
      </w:r>
      <w:r>
        <w:rPr>
          <w:rFonts w:ascii="Calibri" w:hAnsi="Calibri"/>
          <w:b/>
          <w:color w:val="30A46C"/>
          <w:sz w:val="22"/>
        </w:rPr>
        <w:t xml:space="preserve">AME reported mid-teens organic aerospace and defense growth in Q2, with notable strength in commercial OEM and commercial aftermarket. Management cited the “continuing aerospace supercycle with an almost decade-long backlog” and “non-discretionary demand for global defense modernization.” </w:t>
      </w:r>
      <w:r>
        <w:rPr>
          <w:rFonts w:ascii="Calibri" w:hAnsi="Calibri"/>
          <w:b/>
          <w:color w:val="525866"/>
          <w:sz w:val="22"/>
        </w:rPr>
        <w:t xml:space="preserve"> → </w:t>
      </w:r>
      <w:r>
        <w:rPr>
          <w:rFonts w:ascii="Calibri" w:hAnsi="Calibri"/>
          <w:color w:val="525866"/>
          <w:sz w:val="22"/>
        </w:rPr>
        <w:t>Read-through: Directly corroborates PH’s aerospace thesis and record backlog. Defense modernization is an incremental tailwind for PH’s aerospace segment.</w:t>
      </w:r>
    </w:p>
    <w:p>
      <w:pPr>
        <w:pStyle w:val="ListBullet"/>
        <w:ind w:left="360" w:hanging="360"/>
      </w:pPr>
      <w:r>
        <w:rPr>
          <w:rFonts w:ascii="Calibri" w:hAnsi="Calibri"/>
          <w:b/>
          <w:color w:val="525866"/>
          <w:sz w:val="22"/>
        </w:rPr>
        <w:t xml:space="preserve">Automation and life sciences accelerating: </w:t>
      </w:r>
      <w:r>
        <w:rPr>
          <w:rFonts w:ascii="Calibri" w:hAnsi="Calibri"/>
          <w:b/>
          <w:color w:val="30A46C"/>
          <w:sz w:val="22"/>
        </w:rPr>
        <w:t xml:space="preserve">AME’s automation and engineered solutions delivered outstanding mid-teens organic growth; life sciences part of automation “really accelerated.” Medtech, semiconductor, and automation are the key growth applications. </w:t>
      </w:r>
      <w:r>
        <w:rPr>
          <w:rFonts w:ascii="Calibri" w:hAnsi="Calibri"/>
          <w:b/>
          <w:color w:val="525866"/>
          <w:sz w:val="22"/>
        </w:rPr>
        <w:t xml:space="preserve"> → </w:t>
      </w:r>
      <w:r>
        <w:rPr>
          <w:rFonts w:ascii="Calibri" w:hAnsi="Calibri"/>
          <w:color w:val="525866"/>
          <w:sz w:val="22"/>
        </w:rPr>
        <w:t>Read-through: Positive for PH’s Filtration Group acquisition thesis — life sciences and medtech demand is accelerating, validating the strategic rationale for expanding aftermarket and life sciences exposure.</w:t>
      </w:r>
    </w:p>
    <w:p>
      <w:pPr>
        <w:pStyle w:val="ListBullet"/>
        <w:ind w:left="360" w:hanging="360"/>
      </w:pPr>
      <w:r>
        <w:rPr>
          <w:rFonts w:ascii="Calibri" w:hAnsi="Calibri"/>
          <w:b/>
          <w:color w:val="525866"/>
          <w:sz w:val="22"/>
        </w:rPr>
        <w:t xml:space="preserve">Tariff and inflation offset by pricing: </w:t>
      </w:r>
      <w:r>
        <w:rPr>
          <w:rFonts w:ascii="Calibri" w:hAnsi="Calibri"/>
          <w:b/>
          <w:color w:val="30A46C"/>
          <w:sz w:val="22"/>
        </w:rPr>
        <w:t xml:space="preserve">AME offset inflation and tariffs “a little more than price” in Q2, with 40% incrementals for both segments. No tariff refunds impacted margins. Productivity target raised to $160M for the year. </w:t>
      </w:r>
      <w:r>
        <w:rPr>
          <w:rFonts w:ascii="Calibri" w:hAnsi="Calibri"/>
          <w:b/>
          <w:color w:val="525866"/>
          <w:sz w:val="22"/>
        </w:rPr>
        <w:t xml:space="preserve"> → </w:t>
      </w:r>
      <w:r>
        <w:rPr>
          <w:rFonts w:ascii="Calibri" w:hAnsi="Calibri"/>
          <w:color w:val="525866"/>
          <w:sz w:val="22"/>
        </w:rPr>
        <w:t>Read-through: Confirms that high-quality industrials with differentiated products can offset tariff headwinds with pricing — consistent with PH’s Win Strategy approach.</w:t>
      </w:r>
    </w:p>
    <w:p>
      <w:pPr>
        <w:pStyle w:val="ListBullet"/>
        <w:ind w:left="360" w:hanging="360"/>
      </w:pPr>
      <w:r>
        <w:rPr>
          <w:rFonts w:ascii="Calibri" w:hAnsi="Calibri"/>
          <w:b/>
          <w:color w:val="525866"/>
          <w:sz w:val="22"/>
        </w:rPr>
        <w:t xml:space="preserve">Full-year guidance raised: </w:t>
      </w:r>
      <w:r>
        <w:rPr>
          <w:rFonts w:ascii="Calibri" w:hAnsi="Calibri"/>
          <w:b/>
          <w:color w:val="30A46C"/>
          <w:sz w:val="22"/>
        </w:rPr>
        <w:t xml:space="preserve">AME raised FY2026 EPS guidance to $8.20–$8.30 (from $7.94–$8.14) and overall sales to +10%. Q3 2026 guidance of $2.08–$2.10 EPS implies continued double-digit growth. Management noted guidance includes “Ametek prudence or conservatism.” </w:t>
      </w:r>
      <w:r>
        <w:rPr>
          <w:rFonts w:ascii="Calibri" w:hAnsi="Calibri"/>
          <w:b/>
          <w:color w:val="525866"/>
          <w:sz w:val="22"/>
        </w:rPr>
        <w:t xml:space="preserve"> → </w:t>
      </w:r>
      <w:r>
        <w:rPr>
          <w:rFonts w:ascii="Calibri" w:hAnsi="Calibri"/>
          <w:color w:val="525866"/>
          <w:sz w:val="22"/>
        </w:rPr>
        <w:t>Read-through: Peer guidance raises across the industrial sector support PH’s own raised guidance and reduce the risk of a negative surprise.</w:t>
      </w:r>
    </w:p>
    <w:p>
      <w:pPr>
        <w:pStyle w:val="Heading3"/>
      </w:pPr>
      <w:r>
        <w:rPr>
          <w:rFonts w:ascii="Calibri" w:hAnsi="Calibri"/>
          <w:b/>
          <w:color w:val="3B4259"/>
          <w:sz w:val="24"/>
        </w:rPr>
        <w:t>Emerson Electric (EMR) — Q3 FY2026 Earnings (August 4, 2026)</w:t>
      </w:r>
    </w:p>
    <w:p>
      <w:r>
        <w:rPr>
          <w:rFonts w:ascii="Calibri" w:hAnsi="Calibri"/>
          <w:b/>
          <w:color w:val="525866"/>
          <w:sz w:val="22"/>
        </w:rPr>
        <w:t xml:space="preserve">Relevance to PH: </w:t>
      </w:r>
      <w:r>
        <w:rPr>
          <w:rFonts w:ascii="Calibri" w:hAnsi="Calibri"/>
          <w:color w:val="525866"/>
          <w:sz w:val="22"/>
        </w:rPr>
        <w:t>EMR is a direct peer in industrial automation and process control, with significant overlap in energy, chemical, and power end markets. EMR’s Q3 FY2026 covers the same calendar quarter (April–June 2026) as PH’s Q4 FY2026.</w:t>
      </w:r>
    </w:p>
    <w:p>
      <w:pPr>
        <w:pStyle w:val="ListBullet"/>
        <w:ind w:left="360" w:hanging="360"/>
      </w:pPr>
      <w:r>
        <w:rPr>
          <w:rFonts w:ascii="Calibri" w:hAnsi="Calibri"/>
          <w:b/>
          <w:color w:val="525866"/>
          <w:sz w:val="22"/>
        </w:rPr>
        <w:t xml:space="preserve">Underlying orders grew 7% with broad-based demand: </w:t>
      </w:r>
      <w:r>
        <w:rPr>
          <w:rFonts w:ascii="Calibri" w:hAnsi="Calibri"/>
          <w:b/>
          <w:color w:val="30A46C"/>
          <w:sz w:val="22"/>
        </w:rPr>
        <w:t xml:space="preserve">EMR reported 7% underlying order growth in Q3, with broad-based demand across all business groups led by software and systems (+10%). Backlog ended at $8.2B, up 7% YoY. Book-to-bill of 1.0. North America and Asia were the primary growth drivers. </w:t>
      </w:r>
      <w:r>
        <w:rPr>
          <w:rFonts w:ascii="Calibri" w:hAnsi="Calibri"/>
          <w:b/>
          <w:color w:val="525866"/>
          <w:sz w:val="22"/>
        </w:rPr>
        <w:t xml:space="preserve"> → </w:t>
      </w:r>
      <w:r>
        <w:rPr>
          <w:rFonts w:ascii="Calibri" w:hAnsi="Calibri"/>
          <w:color w:val="525866"/>
          <w:sz w:val="22"/>
        </w:rPr>
        <w:t>Read-through: Broad industrial order growth confirms the demand environment PH is operating in. North America strength is directly relevant to PH’s Diversified Industrial North America segment.</w:t>
      </w:r>
    </w:p>
    <w:p>
      <w:pPr>
        <w:pStyle w:val="ListBullet"/>
        <w:ind w:left="360" w:hanging="360"/>
      </w:pPr>
      <w:r>
        <w:rPr>
          <w:rFonts w:ascii="Calibri" w:hAnsi="Calibri"/>
          <w:b/>
          <w:color w:val="525866"/>
          <w:sz w:val="22"/>
        </w:rPr>
        <w:t xml:space="preserve">Aerospace and defense double-digit order growth: </w:t>
      </w:r>
      <w:r>
        <w:rPr>
          <w:rFonts w:ascii="Calibri" w:hAnsi="Calibri"/>
          <w:b/>
          <w:color w:val="30A46C"/>
          <w:sz w:val="22"/>
        </w:rPr>
        <w:t xml:space="preserve">Within Test and Measurement, EMR reported double-digit order growth in aerospace and defense. Software and Systems saw “significant growth in power, semiconductor and aerospace and defense.” </w:t>
      </w:r>
      <w:r>
        <w:rPr>
          <w:rFonts w:ascii="Calibri" w:hAnsi="Calibri"/>
          <w:b/>
          <w:color w:val="525866"/>
          <w:sz w:val="22"/>
        </w:rPr>
        <w:t xml:space="preserve"> → </w:t>
      </w:r>
      <w:r>
        <w:rPr>
          <w:rFonts w:ascii="Calibri" w:hAnsi="Calibri"/>
          <w:color w:val="525866"/>
          <w:sz w:val="22"/>
        </w:rPr>
        <w:t>Read-through: Aerospace demand confirmation from another angle — supports PH’s Q4 aerospace guide of ~9% organic growth.</w:t>
      </w:r>
    </w:p>
    <w:p>
      <w:pPr>
        <w:pStyle w:val="ListBullet"/>
        <w:ind w:left="360" w:hanging="360"/>
      </w:pPr>
      <w:r>
        <w:rPr>
          <w:rFonts w:ascii="Calibri" w:hAnsi="Calibri"/>
          <w:b/>
          <w:color w:val="525866"/>
          <w:sz w:val="22"/>
        </w:rPr>
        <w:t xml:space="preserve">Growth verticals up 27% — semiconductor and power leading: </w:t>
      </w:r>
      <w:r>
        <w:rPr>
          <w:rFonts w:ascii="Calibri" w:hAnsi="Calibri"/>
          <w:b/>
          <w:color w:val="30A46C"/>
          <w:sz w:val="22"/>
        </w:rPr>
        <w:t xml:space="preserve">EMR’s growth verticals (semiconductor, power, etc.) were up 27% in Q3, with semiconductor up 53% and power up 37%. Ovation (power control) orders up 31%. Power funnel grew $450M to $3B of the total $12.4B project funnel. </w:t>
      </w:r>
      <w:r>
        <w:rPr>
          <w:rFonts w:ascii="Calibri" w:hAnsi="Calibri"/>
          <w:b/>
          <w:color w:val="525866"/>
          <w:sz w:val="22"/>
        </w:rPr>
        <w:t xml:space="preserve"> → </w:t>
      </w:r>
      <w:r>
        <w:rPr>
          <w:rFonts w:ascii="Calibri" w:hAnsi="Calibri"/>
          <w:color w:val="525866"/>
          <w:sz w:val="22"/>
        </w:rPr>
        <w:t>Read-through: Power generation and semiconductor demand is a tailwind for PH’s energy and HVAC market verticals, which management guided to positive low single-digit and positive mid-single-digit growth respectively.</w:t>
      </w:r>
    </w:p>
    <w:p>
      <w:pPr>
        <w:pStyle w:val="ListBullet"/>
        <w:ind w:left="360" w:hanging="360"/>
      </w:pPr>
      <w:r>
        <w:rPr>
          <w:rFonts w:ascii="Calibri" w:hAnsi="Calibri"/>
          <w:b/>
          <w:color w:val="525866"/>
          <w:sz w:val="22"/>
        </w:rPr>
        <w:t xml:space="preserve">Middle East headwind — ~$25M impact in Q3: </w:t>
      </w:r>
      <w:r>
        <w:rPr>
          <w:rFonts w:ascii="Calibri" w:hAnsi="Calibri"/>
          <w:b/>
          <w:color w:val="E5484D"/>
          <w:sz w:val="22"/>
        </w:rPr>
        <w:t xml:space="preserve">EMR flagged a ~$25M headwind from Middle East conflict (Strait of Hormuz disruption) vs. February guidance, with conditions expected to remain “touch and go” into Q4 and potentially Q1 FY27. Intelligent Devices most impacted. </w:t>
      </w:r>
      <w:r>
        <w:rPr>
          <w:rFonts w:ascii="Calibri" w:hAnsi="Calibri"/>
          <w:b/>
          <w:color w:val="525866"/>
          <w:sz w:val="22"/>
        </w:rPr>
        <w:t xml:space="preserve"> → </w:t>
      </w:r>
      <w:r>
        <w:rPr>
          <w:rFonts w:ascii="Calibri" w:hAnsi="Calibri"/>
          <w:color w:val="525866"/>
          <w:sz w:val="22"/>
        </w:rPr>
        <w:t>Read-through: PH has international industrial exposure (EMEA and Middle East) — any similar disruption could weigh on Diversified Industrial International, though PH management has not flagged this as a material issue.</w:t>
      </w:r>
    </w:p>
    <w:p>
      <w:pPr>
        <w:pStyle w:val="ListBullet"/>
        <w:ind w:left="360" w:hanging="360"/>
      </w:pPr>
      <w:r>
        <w:rPr>
          <w:rFonts w:ascii="Calibri" w:hAnsi="Calibri"/>
          <w:b/>
          <w:color w:val="525866"/>
          <w:sz w:val="22"/>
        </w:rPr>
        <w:t xml:space="preserve">Europe soft but orders turning positive: </w:t>
      </w:r>
      <w:r>
        <w:rPr>
          <w:rFonts w:ascii="Calibri" w:hAnsi="Calibri"/>
          <w:b/>
          <w:color w:val="30A46C"/>
          <w:sz w:val="22"/>
        </w:rPr>
        <w:t xml:space="preserve">EMR reported Europe sales down 1% in Q3 but orders were positive, seen as a “good sign for the latter half of the year and into Q1 of next fiscal year.” China improved to down 3% YoY (better than H1). </w:t>
      </w:r>
      <w:r>
        <w:rPr>
          <w:rFonts w:ascii="Calibri" w:hAnsi="Calibri"/>
          <w:b/>
          <w:color w:val="525866"/>
          <w:sz w:val="22"/>
        </w:rPr>
        <w:t xml:space="preserve"> → </w:t>
      </w:r>
      <w:r>
        <w:rPr>
          <w:rFonts w:ascii="Calibri" w:hAnsi="Calibri"/>
          <w:color w:val="525866"/>
          <w:sz w:val="22"/>
        </w:rPr>
        <w:t>Read-through: Consistent with PH’s EMEA guidance of “slightly positive low single-digit” for FY26 and improving Asia Pacific (raised to positive high single-digit). Europe orders turning positive is an incremental positive for PH’s international industrial segment.</w:t>
      </w:r>
    </w:p>
    <w:p>
      <w:pPr>
        <w:pStyle w:val="ListBullet"/>
        <w:ind w:left="360" w:hanging="360"/>
      </w:pPr>
      <w:r>
        <w:rPr>
          <w:rFonts w:ascii="Calibri" w:hAnsi="Calibri"/>
          <w:b/>
          <w:color w:val="525866"/>
          <w:sz w:val="22"/>
        </w:rPr>
        <w:t xml:space="preserve">Full-year guidance raised: </w:t>
      </w:r>
      <w:r>
        <w:rPr>
          <w:rFonts w:ascii="Calibri" w:hAnsi="Calibri"/>
          <w:b/>
          <w:color w:val="30A46C"/>
          <w:sz w:val="22"/>
        </w:rPr>
        <w:t xml:space="preserve">EMR raised FY2026 sales growth to 5% (3.5% underlying) and EPS to $6.55. Adjusted segment EBITDA margin expected at ~28% for the year. Q4 underlying growth guided at 3.5%. </w:t>
      </w:r>
      <w:r>
        <w:rPr>
          <w:rFonts w:ascii="Calibri" w:hAnsi="Calibri"/>
          <w:b/>
          <w:color w:val="525866"/>
          <w:sz w:val="22"/>
        </w:rPr>
        <w:t xml:space="preserve"> → </w:t>
      </w:r>
      <w:r>
        <w:rPr>
          <w:rFonts w:ascii="Calibri" w:hAnsi="Calibri"/>
          <w:color w:val="525866"/>
          <w:sz w:val="22"/>
        </w:rPr>
        <w:t>Read-through: Another peer raising guidance in the same reporting period — reduces the risk of a negative macro surprise for PH.</w:t>
      </w:r>
    </w:p>
    <w:p>
      <w:pPr>
        <w:pStyle w:val="Heading3"/>
      </w:pPr>
      <w:r>
        <w:rPr>
          <w:rFonts w:ascii="Calibri" w:hAnsi="Calibri"/>
          <w:b/>
          <w:color w:val="3B4259"/>
          <w:sz w:val="24"/>
        </w:rPr>
        <w:t>Illinois Tool Works (ITW) — Q2 2026 Earnings (July 28, 2026)</w:t>
      </w:r>
    </w:p>
    <w:p>
      <w:r>
        <w:rPr>
          <w:rFonts w:ascii="Calibri" w:hAnsi="Calibri"/>
          <w:b/>
          <w:color w:val="525866"/>
          <w:sz w:val="22"/>
        </w:rPr>
        <w:t xml:space="preserve">Relevance to PH: </w:t>
      </w:r>
      <w:r>
        <w:rPr>
          <w:rFonts w:ascii="Calibri" w:hAnsi="Calibri"/>
          <w:color w:val="525866"/>
          <w:sz w:val="22"/>
        </w:rPr>
        <w:t>ITW is a diversified industrial peer with significant overlap in welding, specialty products, and industrial end markets. ITW’s Q2 2026 covers the same calendar quarter as PH’s Q4 FY2026.</w:t>
      </w:r>
    </w:p>
    <w:p>
      <w:pPr>
        <w:pStyle w:val="ListBullet"/>
        <w:ind w:left="360" w:hanging="360"/>
      </w:pPr>
      <w:r>
        <w:rPr>
          <w:rFonts w:ascii="Calibri" w:hAnsi="Calibri"/>
          <w:b/>
          <w:color w:val="525866"/>
          <w:sz w:val="22"/>
        </w:rPr>
        <w:t xml:space="preserve">4.5% organic growth — CapEx-related businesses accelerating: </w:t>
      </w:r>
      <w:r>
        <w:rPr>
          <w:rFonts w:ascii="Calibri" w:hAnsi="Calibri"/>
          <w:b/>
          <w:color w:val="30A46C"/>
          <w:sz w:val="22"/>
        </w:rPr>
        <w:t xml:space="preserve">ITW reported 4.5% organic growth in Q2 2026, with the most profitable quarter in company history (operating income $1.15B). Growth was led by welding (+14% organic), test and measurement/electronics (+10%), and polymers and fluids (+7%). Sequential revenue growth of +7% vs. historical average of +2%. </w:t>
      </w:r>
      <w:r>
        <w:rPr>
          <w:rFonts w:ascii="Calibri" w:hAnsi="Calibri"/>
          <w:b/>
          <w:color w:val="525866"/>
          <w:sz w:val="22"/>
        </w:rPr>
        <w:t xml:space="preserve"> → </w:t>
      </w:r>
      <w:r>
        <w:rPr>
          <w:rFonts w:ascii="Calibri" w:hAnsi="Calibri"/>
          <w:color w:val="525866"/>
          <w:sz w:val="22"/>
        </w:rPr>
        <w:t>Read-through: CapEx-related industrial demand is accelerating broadly — positive for PH’s industrial segments, particularly in-plant and industrial market vertical.</w:t>
      </w:r>
    </w:p>
    <w:p>
      <w:pPr>
        <w:pStyle w:val="ListBullet"/>
        <w:ind w:left="360" w:hanging="360"/>
      </w:pPr>
      <w:r>
        <w:rPr>
          <w:rFonts w:ascii="Calibri" w:hAnsi="Calibri"/>
          <w:b/>
          <w:color w:val="525866"/>
          <w:sz w:val="22"/>
        </w:rPr>
        <w:t xml:space="preserve">Welding demand broad-based across industrial and commercial: </w:t>
      </w:r>
      <w:r>
        <w:rPr>
          <w:rFonts w:ascii="Calibri" w:hAnsi="Calibri"/>
          <w:b/>
          <w:color w:val="30A46C"/>
          <w:sz w:val="22"/>
        </w:rPr>
        <w:t xml:space="preserve">ITW’s welding segment delivered 14% organic growth with equipment surging 19%, driven by infrastructure, energy, aerospace, construction, and data center fabrication. Order intake was higher than the 14% revenue growth rate, building backlog. </w:t>
      </w:r>
      <w:r>
        <w:rPr>
          <w:rFonts w:ascii="Calibri" w:hAnsi="Calibri"/>
          <w:b/>
          <w:color w:val="525866"/>
          <w:sz w:val="22"/>
        </w:rPr>
        <w:t xml:space="preserve"> → </w:t>
      </w:r>
      <w:r>
        <w:rPr>
          <w:rFonts w:ascii="Calibri" w:hAnsi="Calibri"/>
          <w:color w:val="525866"/>
          <w:sz w:val="22"/>
        </w:rPr>
        <w:t>Read-through: Broad industrial fabrication demand is a positive read-through for PH’s motion and control products used in similar end markets.</w:t>
      </w:r>
    </w:p>
    <w:p>
      <w:pPr>
        <w:pStyle w:val="ListBullet"/>
        <w:ind w:left="360" w:hanging="360"/>
      </w:pPr>
      <w:r>
        <w:rPr>
          <w:rFonts w:ascii="Calibri" w:hAnsi="Calibri"/>
          <w:b/>
          <w:color w:val="525866"/>
          <w:sz w:val="22"/>
        </w:rPr>
        <w:t xml:space="preserve">Price-cost timing lag — temporary 40 bps margin headwind: </w:t>
      </w:r>
      <w:r>
        <w:rPr>
          <w:rFonts w:ascii="Calibri" w:hAnsi="Calibri"/>
          <w:b/>
          <w:color w:val="E5484D"/>
          <w:sz w:val="22"/>
        </w:rPr>
        <w:t xml:space="preserve">ITW flagged a 40 bps margin headwind from timing lag between inflation (crude oil derivatives, resins, logistics, electronic components) and price increases. Expected to improve to ~30 bps in Q3 and ~20 bps in Q4. Full-year average ~20 bps headwind. </w:t>
      </w:r>
      <w:r>
        <w:rPr>
          <w:rFonts w:ascii="Calibri" w:hAnsi="Calibri"/>
          <w:b/>
          <w:color w:val="525866"/>
          <w:sz w:val="22"/>
        </w:rPr>
        <w:t xml:space="preserve"> → </w:t>
      </w:r>
      <w:r>
        <w:rPr>
          <w:rFonts w:ascii="Calibri" w:hAnsi="Calibri"/>
          <w:color w:val="525866"/>
          <w:sz w:val="22"/>
        </w:rPr>
        <w:t>Read-through: Inflation in resins and logistics is a sector-wide issue — PH’s 27.4% Q4 margin guide may face similar timing pressure, though PH has historically managed this well through Win Strategy pricing discipline.</w:t>
      </w:r>
    </w:p>
    <w:p>
      <w:pPr>
        <w:pStyle w:val="ListBullet"/>
        <w:ind w:left="360" w:hanging="360"/>
      </w:pPr>
      <w:r>
        <w:rPr>
          <w:rFonts w:ascii="Calibri" w:hAnsi="Calibri"/>
          <w:b/>
          <w:color w:val="525866"/>
          <w:sz w:val="22"/>
        </w:rPr>
        <w:t xml:space="preserve">Full-year guidance raised for second time: </w:t>
      </w:r>
      <w:r>
        <w:rPr>
          <w:rFonts w:ascii="Calibri" w:hAnsi="Calibri"/>
          <w:b/>
          <w:color w:val="30A46C"/>
          <w:sz w:val="22"/>
        </w:rPr>
        <w:t xml:space="preserve">ITW raised full-year organic growth guidance by 150 bps to 3.5% midpoint (3–4% range) and GAAP EPS by $0.15 to $11.45 midpoint. All seven segments expected to deliver positive organic growth and margin expansion. Management noted they are “off to a good start in Q3.” </w:t>
      </w:r>
      <w:r>
        <w:rPr>
          <w:rFonts w:ascii="Calibri" w:hAnsi="Calibri"/>
          <w:b/>
          <w:color w:val="525866"/>
          <w:sz w:val="22"/>
        </w:rPr>
        <w:t xml:space="preserve"> → </w:t>
      </w:r>
      <w:r>
        <w:rPr>
          <w:rFonts w:ascii="Calibri" w:hAnsi="Calibri"/>
          <w:color w:val="525866"/>
          <w:sz w:val="22"/>
        </w:rPr>
        <w:t>Read-through: Second guidance raise of the year from a high-quality industrial peer confirms the demand environment is tracking above initial expectations — positive setup for PH.</w:t>
      </w:r>
    </w:p>
    <w:p>
      <w:pPr>
        <w:pStyle w:val="ListBullet"/>
        <w:ind w:left="360" w:hanging="360"/>
      </w:pPr>
      <w:r>
        <w:rPr>
          <w:rFonts w:ascii="Calibri" w:hAnsi="Calibri"/>
          <w:b/>
          <w:color w:val="525866"/>
          <w:sz w:val="22"/>
        </w:rPr>
        <w:t xml:space="preserve">Long-term incremental margin target raised to 40–45%: </w:t>
      </w:r>
      <w:r>
        <w:rPr>
          <w:rFonts w:ascii="Calibri" w:hAnsi="Calibri"/>
          <w:b/>
          <w:color w:val="30A46C"/>
          <w:sz w:val="22"/>
        </w:rPr>
        <w:t xml:space="preserve">ITW raised its long-term incremental margin target from ~35% to 40–45% in a normal environment, citing enterprise initiatives expected to contribute for the next 3–4 years. </w:t>
      </w:r>
      <w:r>
        <w:rPr>
          <w:rFonts w:ascii="Calibri" w:hAnsi="Calibri"/>
          <w:b/>
          <w:color w:val="525866"/>
          <w:sz w:val="22"/>
        </w:rPr>
        <w:t xml:space="preserve"> → </w:t>
      </w:r>
      <w:r>
        <w:rPr>
          <w:rFonts w:ascii="Calibri" w:hAnsi="Calibri"/>
          <w:color w:val="525866"/>
          <w:sz w:val="22"/>
        </w:rPr>
        <w:t>Read-through: Validates PH’s own 40% incremental margin guidance for FY26 as achievable and potentially sustainable — sector-wide margin expansion thesis is intact.</w:t>
      </w:r>
    </w:p>
    <w:p>
      <w:pPr>
        <w:pStyle w:val="Heading3"/>
      </w:pPr>
      <w:r>
        <w:rPr>
          <w:rFonts w:ascii="Calibri" w:hAnsi="Calibri"/>
          <w:b/>
          <w:color w:val="3B4259"/>
          <w:sz w:val="24"/>
        </w:rPr>
        <w:t>Rockwell Automation (ROK) — Q3 FY2026 Earnings (August 4, 2026)</w:t>
      </w:r>
    </w:p>
    <w:p>
      <w:r>
        <w:rPr>
          <w:rFonts w:ascii="Calibri" w:hAnsi="Calibri"/>
          <w:b/>
          <w:color w:val="525866"/>
          <w:sz w:val="22"/>
        </w:rPr>
        <w:t xml:space="preserve">Relevance to PH: </w:t>
      </w:r>
      <w:r>
        <w:rPr>
          <w:rFonts w:ascii="Calibri" w:hAnsi="Calibri"/>
          <w:color w:val="525866"/>
          <w:sz w:val="22"/>
        </w:rPr>
        <w:t>ROK is a peer in industrial automation and motion control. ROK’s Q3 FY2026 covers the same calendar quarter (April–June 2026) as PH’s Q4 FY2026.</w:t>
      </w:r>
    </w:p>
    <w:p>
      <w:pPr>
        <w:pStyle w:val="ListBullet"/>
        <w:ind w:left="360" w:hanging="360"/>
      </w:pPr>
      <w:r>
        <w:rPr>
          <w:rFonts w:ascii="Calibri" w:hAnsi="Calibri"/>
          <w:b/>
          <w:color w:val="525866"/>
          <w:sz w:val="22"/>
        </w:rPr>
        <w:t xml:space="preserve">10% organic growth — fourth consecutive quarter of 40%+ incrementals: </w:t>
      </w:r>
      <w:r>
        <w:rPr>
          <w:rFonts w:ascii="Calibri" w:hAnsi="Calibri"/>
          <w:b/>
          <w:color w:val="30A46C"/>
          <w:sz w:val="22"/>
        </w:rPr>
        <w:t xml:space="preserve">ROK reported 10% organic sales growth in Q3 FY2026, with enterprise operating margin of 22.3% and adjusted EPS of $3.49, both up double digits YoY. Total incremental margin was in the high 50s YoY on an as-reported basis and over 40% organically — the fourth consecutive quarter above 40%. </w:t>
      </w:r>
      <w:r>
        <w:rPr>
          <w:rFonts w:ascii="Calibri" w:hAnsi="Calibri"/>
          <w:b/>
          <w:color w:val="525866"/>
          <w:sz w:val="22"/>
        </w:rPr>
        <w:t xml:space="preserve"> → </w:t>
      </w:r>
      <w:r>
        <w:rPr>
          <w:rFonts w:ascii="Calibri" w:hAnsi="Calibri"/>
          <w:color w:val="525866"/>
          <w:sz w:val="22"/>
        </w:rPr>
        <w:t>Read-through: Validates PH’s 40% incremental margin guidance for FY26 as achievable and confirms the industrial automation demand environment is robust.</w:t>
      </w:r>
    </w:p>
    <w:p>
      <w:pPr>
        <w:pStyle w:val="ListBullet"/>
        <w:ind w:left="360" w:hanging="360"/>
      </w:pPr>
      <w:r>
        <w:rPr>
          <w:rFonts w:ascii="Calibri" w:hAnsi="Calibri"/>
          <w:b/>
          <w:color w:val="525866"/>
          <w:sz w:val="22"/>
        </w:rPr>
        <w:t xml:space="preserve">Discrete industries (semiconductor, data center, e-commerce) driving growth: </w:t>
      </w:r>
      <w:r>
        <w:rPr>
          <w:rFonts w:ascii="Calibri" w:hAnsi="Calibri"/>
          <w:b/>
          <w:color w:val="30A46C"/>
          <w:sz w:val="22"/>
        </w:rPr>
        <w:t xml:space="preserve">ROK’s discrete sales grew high teens YoY, led by strong double-digit growth in semiconductor, data center, and e-commerce/warehouse automation. Automotive sales up low double digits. Early signs of renewed project activity in automotive and life sciences. </w:t>
      </w:r>
      <w:r>
        <w:rPr>
          <w:rFonts w:ascii="Calibri" w:hAnsi="Calibri"/>
          <w:b/>
          <w:color w:val="525866"/>
          <w:sz w:val="22"/>
        </w:rPr>
        <w:t xml:space="preserve"> → </w:t>
      </w:r>
      <w:r>
        <w:rPr>
          <w:rFonts w:ascii="Calibri" w:hAnsi="Calibri"/>
          <w:color w:val="525866"/>
          <w:sz w:val="22"/>
        </w:rPr>
        <w:t>Read-through: Semiconductor and data center demand is a positive read-through for PH’s electronics and semiconductor market vertical (Asia Pacific raised to positive high single-digit for FY26).</w:t>
      </w:r>
    </w:p>
    <w:p>
      <w:pPr>
        <w:pStyle w:val="ListBullet"/>
        <w:ind w:left="360" w:hanging="360"/>
      </w:pPr>
      <w:r>
        <w:rPr>
          <w:rFonts w:ascii="Calibri" w:hAnsi="Calibri"/>
          <w:b/>
          <w:color w:val="525866"/>
          <w:sz w:val="22"/>
        </w:rPr>
        <w:t xml:space="preserve">Food &amp; beverage and process CapEx recovery not yet materializing: </w:t>
      </w:r>
      <w:r>
        <w:rPr>
          <w:rFonts w:ascii="Calibri" w:hAnsi="Calibri"/>
          <w:b/>
          <w:color w:val="E5484D"/>
          <w:sz w:val="22"/>
        </w:rPr>
        <w:t xml:space="preserve">ROK noted it is “not yet seeing a pickup in CapEx across Food &amp; Beverage and parts of process” — Lifecycle Services organic sales were down 2% YoY, constrained by lack of capital spending recovery in these verticals. </w:t>
      </w:r>
      <w:r>
        <w:rPr>
          <w:rFonts w:ascii="Calibri" w:hAnsi="Calibri"/>
          <w:b/>
          <w:color w:val="525866"/>
          <w:sz w:val="22"/>
        </w:rPr>
        <w:t xml:space="preserve"> → </w:t>
      </w:r>
      <w:r>
        <w:rPr>
          <w:rFonts w:ascii="Calibri" w:hAnsi="Calibri"/>
          <w:color w:val="525866"/>
          <w:sz w:val="22"/>
        </w:rPr>
        <w:t>Read-through: Modest caution flag for PH’s in-plant and industrial market vertical — while PH guided positive low single-digit growth, the food &amp; beverage CapEx recovery is not yet broad-based.</w:t>
      </w:r>
    </w:p>
    <w:p>
      <w:pPr>
        <w:pStyle w:val="ListBullet"/>
        <w:ind w:left="360" w:hanging="360"/>
      </w:pPr>
      <w:r>
        <w:rPr>
          <w:rFonts w:ascii="Calibri" w:hAnsi="Calibri"/>
          <w:b/>
          <w:color w:val="525866"/>
          <w:sz w:val="22"/>
        </w:rPr>
        <w:t xml:space="preserve">Inflation a growing headwind — price increase implemented late Q3: </w:t>
      </w:r>
      <w:r>
        <w:rPr>
          <w:rFonts w:ascii="Calibri" w:hAnsi="Calibri"/>
          <w:b/>
          <w:color w:val="E5484D"/>
          <w:sz w:val="22"/>
        </w:rPr>
        <w:t xml:space="preserve">ROK described inflation as a “double-digit million headwind” for H2 FY2026, increasing vs. prior quarter. A price increase was implemented late in Q3 to be realized in Q4. Price-cost expected to be positive YoY in Q4 but inflation higher sequentially. </w:t>
      </w:r>
      <w:r>
        <w:rPr>
          <w:rFonts w:ascii="Calibri" w:hAnsi="Calibri"/>
          <w:b/>
          <w:color w:val="525866"/>
          <w:sz w:val="22"/>
        </w:rPr>
        <w:t xml:space="preserve"> → </w:t>
      </w:r>
      <w:r>
        <w:rPr>
          <w:rFonts w:ascii="Calibri" w:hAnsi="Calibri"/>
          <w:color w:val="525866"/>
          <w:sz w:val="22"/>
        </w:rPr>
        <w:t>Read-through: Inflation is a sector-wide headwind — consistent with ITW’s commentary. PH’s Win Strategy pricing discipline is the key mitigant.</w:t>
      </w:r>
    </w:p>
    <w:p>
      <w:pPr>
        <w:pStyle w:val="ListBullet"/>
        <w:ind w:left="360" w:hanging="360"/>
      </w:pPr>
      <w:r>
        <w:rPr>
          <w:rFonts w:ascii="Calibri" w:hAnsi="Calibri"/>
          <w:b/>
          <w:color w:val="525866"/>
          <w:sz w:val="22"/>
        </w:rPr>
        <w:t xml:space="preserve">Full-year guidance raised — FY2026 EPS to $13.15 midpoint (+25% YoY): </w:t>
      </w:r>
      <w:r>
        <w:rPr>
          <w:rFonts w:ascii="Calibri" w:hAnsi="Calibri"/>
          <w:b/>
          <w:color w:val="30A46C"/>
          <w:sz w:val="22"/>
        </w:rPr>
        <w:t xml:space="preserve">ROK raised full-year organic growth guidance by 150 bps to 8.5% midpoint and EPS to $13.15 midpoint. Free cash flow conversion of 100% maintained. Management sees tailwinds from broadening verticals, renewed automotive/life sciences investment, and labor cost pressures driving automation demand. </w:t>
      </w:r>
      <w:r>
        <w:rPr>
          <w:rFonts w:ascii="Calibri" w:hAnsi="Calibri"/>
          <w:b/>
          <w:color w:val="525866"/>
          <w:sz w:val="22"/>
        </w:rPr>
        <w:t xml:space="preserve"> → </w:t>
      </w:r>
      <w:r>
        <w:rPr>
          <w:rFonts w:ascii="Calibri" w:hAnsi="Calibri"/>
          <w:color w:val="525866"/>
          <w:sz w:val="22"/>
        </w:rPr>
        <w:t>Read-through: Another peer raising guidance in the same reporting period — sector-wide demand environment is tracking above initial expectations.</w:t>
      </w:r>
    </w:p>
    <w:p>
      <w:pPr>
        <w:pStyle w:val="Heading3"/>
      </w:pPr>
      <w:r>
        <w:rPr>
          <w:rFonts w:ascii="Calibri" w:hAnsi="Calibri"/>
          <w:b/>
          <w:color w:val="3B4259"/>
          <w:sz w:val="24"/>
        </w:rPr>
        <w:t>Cummins (CMI) — Q2 2026 Earnings (August 4, 2026)</w:t>
      </w:r>
    </w:p>
    <w:p>
      <w:r>
        <w:rPr>
          <w:rFonts w:ascii="Calibri" w:hAnsi="Calibri"/>
          <w:b/>
          <w:color w:val="525866"/>
          <w:sz w:val="22"/>
        </w:rPr>
        <w:t xml:space="preserve">Relevance to PH: </w:t>
      </w:r>
      <w:r>
        <w:rPr>
          <w:rFonts w:ascii="Calibri" w:hAnsi="Calibri"/>
          <w:color w:val="525866"/>
          <w:sz w:val="22"/>
        </w:rPr>
        <w:t>CMI is a peer in transportation and off-highway end markets, which are relevant to PH’s transportation and off-highway market verticals. CMI’s Q2 2026 covers the same calendar quarter as PH’s Q4 FY2026.</w:t>
      </w:r>
    </w:p>
    <w:p>
      <w:pPr>
        <w:pStyle w:val="ListBullet"/>
        <w:ind w:left="360" w:hanging="360"/>
      </w:pPr>
      <w:r>
        <w:rPr>
          <w:rFonts w:ascii="Calibri" w:hAnsi="Calibri"/>
          <w:b/>
          <w:color w:val="525866"/>
          <w:sz w:val="22"/>
        </w:rPr>
        <w:t xml:space="preserve">Record Q2 sales of $9.5B (+9% YoY) — power generation and China construction driving growth: </w:t>
      </w:r>
      <w:r>
        <w:rPr>
          <w:rFonts w:ascii="Calibri" w:hAnsi="Calibri"/>
          <w:b/>
          <w:color w:val="30A46C"/>
          <w:sz w:val="22"/>
        </w:rPr>
        <w:t xml:space="preserve">CMI reported record Q2 2026 sales driven by data center power generation demand and international construction (China excavator demand up 34%). North America heavy-duty truck production was down 4% but CMI’s unit sales were up 2% YoY. </w:t>
      </w:r>
      <w:r>
        <w:rPr>
          <w:rFonts w:ascii="Calibri" w:hAnsi="Calibri"/>
          <w:b/>
          <w:color w:val="525866"/>
          <w:sz w:val="22"/>
        </w:rPr>
        <w:t xml:space="preserve"> → </w:t>
      </w:r>
      <w:r>
        <w:rPr>
          <w:rFonts w:ascii="Calibri" w:hAnsi="Calibri"/>
          <w:color w:val="525866"/>
          <w:sz w:val="22"/>
        </w:rPr>
        <w:t>Read-through: Power generation demand is a positive read-through for PH’s energy market vertical (guided positive low single-digit). Off-highway construction strength in China supports PH’s Asia Pacific raised guidance.</w:t>
      </w:r>
    </w:p>
    <w:p>
      <w:pPr>
        <w:pStyle w:val="ListBullet"/>
        <w:ind w:left="360" w:hanging="360"/>
      </w:pPr>
      <w:r>
        <w:rPr>
          <w:rFonts w:ascii="Calibri" w:hAnsi="Calibri"/>
          <w:b/>
          <w:color w:val="525866"/>
          <w:sz w:val="22"/>
        </w:rPr>
        <w:t xml:space="preserve">North America heavy-duty truck outlook raised: </w:t>
      </w:r>
      <w:r>
        <w:rPr>
          <w:rFonts w:ascii="Calibri" w:hAnsi="Calibri"/>
          <w:b/>
          <w:color w:val="30A46C"/>
          <w:sz w:val="22"/>
        </w:rPr>
        <w:t xml:space="preserve">CMI raised its North America heavy-duty truck forecast to 240,000–250,000 units (from 230,000–250,000), citing strong recent order activity and improving fleet profitability. Medium-duty truck forecast also raised. </w:t>
      </w:r>
      <w:r>
        <w:rPr>
          <w:rFonts w:ascii="Calibri" w:hAnsi="Calibri"/>
          <w:b/>
          <w:color w:val="525866"/>
          <w:sz w:val="22"/>
        </w:rPr>
        <w:t xml:space="preserve"> → </w:t>
      </w:r>
      <w:r>
        <w:rPr>
          <w:rFonts w:ascii="Calibri" w:hAnsi="Calibri"/>
          <w:color w:val="525866"/>
          <w:sz w:val="22"/>
        </w:rPr>
        <w:t>Read-through: Directly positive for PH’s transportation market vertical, which management raised from mid-single-digit decline to low single-digit decline for FY26 — heavy-duty truck order strength could drive further improvement.</w:t>
      </w:r>
    </w:p>
    <w:p>
      <w:pPr>
        <w:pStyle w:val="ListBullet"/>
        <w:ind w:left="360" w:hanging="360"/>
      </w:pPr>
      <w:r>
        <w:rPr>
          <w:rFonts w:ascii="Calibri" w:hAnsi="Calibri"/>
          <w:b/>
          <w:color w:val="525866"/>
          <w:sz w:val="22"/>
        </w:rPr>
        <w:t xml:space="preserve">Global construction outlook improved: </w:t>
      </w:r>
      <w:r>
        <w:rPr>
          <w:rFonts w:ascii="Calibri" w:hAnsi="Calibri"/>
          <w:b/>
          <w:color w:val="30A46C"/>
          <w:sz w:val="22"/>
        </w:rPr>
        <w:t xml:space="preserve">CMI raised global construction demand outlook from down 10% to flat (prior) to flat to up 10% for FY2026, driven by stronger-than-expected export demand (Africa, Indonesia mining). North America construction remains flat given tariff and interest rate uncertainty. </w:t>
      </w:r>
      <w:r>
        <w:rPr>
          <w:rFonts w:ascii="Calibri" w:hAnsi="Calibri"/>
          <w:b/>
          <w:color w:val="525866"/>
          <w:sz w:val="22"/>
        </w:rPr>
        <w:t xml:space="preserve"> → </w:t>
      </w:r>
      <w:r>
        <w:rPr>
          <w:rFonts w:ascii="Calibri" w:hAnsi="Calibri"/>
          <w:color w:val="525866"/>
          <w:sz w:val="22"/>
        </w:rPr>
        <w:t>Read-through: Positive for PH’s off-highway market vertical (guided positive low single-digit), particularly construction exposure. North America construction caution is a modest offset.</w:t>
      </w:r>
    </w:p>
    <w:p>
      <w:pPr>
        <w:pStyle w:val="ListBullet"/>
        <w:ind w:left="360" w:hanging="360"/>
      </w:pPr>
      <w:r>
        <w:rPr>
          <w:rFonts w:ascii="Calibri" w:hAnsi="Calibri"/>
          <w:b/>
          <w:color w:val="525866"/>
          <w:sz w:val="22"/>
        </w:rPr>
        <w:t xml:space="preserve">Tariff impact immaterial to EBITDA in Q2: </w:t>
      </w:r>
      <w:r>
        <w:rPr>
          <w:rFonts w:ascii="Calibri" w:hAnsi="Calibri"/>
          <w:b/>
          <w:color w:val="30A46C"/>
          <w:sz w:val="22"/>
        </w:rPr>
        <w:t xml:space="preserve">CMI stated the net impact of tariffs was immaterial to EBITDA dollars in Q2, with positive pricing and higher volumes offsetting tariff costs. Full-year EBITDA guidance raised to 18%–18.5% midpoint. </w:t>
      </w:r>
      <w:r>
        <w:rPr>
          <w:rFonts w:ascii="Calibri" w:hAnsi="Calibri"/>
          <w:b/>
          <w:color w:val="525866"/>
          <w:sz w:val="22"/>
        </w:rPr>
        <w:t xml:space="preserve"> → </w:t>
      </w:r>
      <w:r>
        <w:rPr>
          <w:rFonts w:ascii="Calibri" w:hAnsi="Calibri"/>
          <w:color w:val="525866"/>
          <w:sz w:val="22"/>
        </w:rPr>
        <w:t>Read-through: Confirms that well-managed industrials can offset tariff headwinds — consistent with PH’s own tariff management approach.</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Peers Confirming</w:t>
            </w:r>
          </w:p>
        </w:tc>
        <w:tc>
          <w:tcPr>
            <w:tcW w:type="dxa" w:w="2160"/>
            <w:shd w:val="clear" w:color="auto" w:fill="3B4259"/>
          </w:tcPr>
          <w:p>
            <w:r>
              <w:rPr>
                <w:rFonts w:ascii="Calibri" w:hAnsi="Calibri"/>
                <w:b/>
                <w:color w:val="FFFFFF"/>
                <w:sz w:val="22"/>
              </w:rPr>
              <w:t>PH Implication</w:t>
            </w:r>
          </w:p>
        </w:tc>
      </w:tr>
      <w:tr>
        <w:tc>
          <w:tcPr>
            <w:tcW w:type="dxa" w:w="2160"/>
          </w:tcPr>
          <w:p>
            <w:r>
              <w:rPr>
                <w:rFonts w:ascii="Calibri" w:hAnsi="Calibri"/>
                <w:sz w:val="22"/>
              </w:rPr>
              <w:t>Aerospace demand robust</w:t>
            </w:r>
          </w:p>
        </w:tc>
        <w:tc>
          <w:tcPr>
            <w:tcW w:type="dxa" w:w="2160"/>
          </w:tcPr>
          <w:p>
            <w:r>
              <w:rPr>
                <w:rFonts w:ascii="Calibri" w:hAnsi="Calibri"/>
                <w:b/>
                <w:color w:val="30A46C"/>
                <w:sz w:val="22"/>
              </w:rPr>
              <w:t>Positive</w:t>
            </w:r>
          </w:p>
        </w:tc>
        <w:tc>
          <w:tcPr>
            <w:tcW w:type="dxa" w:w="2160"/>
          </w:tcPr>
          <w:p>
            <w:r>
              <w:rPr>
                <w:rFonts w:ascii="Calibri" w:hAnsi="Calibri"/>
                <w:sz w:val="22"/>
              </w:rPr>
              <w:t>ETN, AME, ITW</w:t>
            </w:r>
          </w:p>
        </w:tc>
        <w:tc>
          <w:tcPr>
            <w:tcW w:type="dxa" w:w="2160"/>
          </w:tcPr>
          <w:p>
            <w:r>
              <w:rPr>
                <w:rFonts w:ascii="Calibri" w:hAnsi="Calibri"/>
                <w:sz w:val="22"/>
              </w:rPr>
              <w:t>Supports ~9% Q4 aerospace organic growth guide</w:t>
            </w:r>
          </w:p>
        </w:tc>
      </w:tr>
      <w:tr>
        <w:tc>
          <w:tcPr>
            <w:tcW w:type="dxa" w:w="2160"/>
          </w:tcPr>
          <w:p>
            <w:r>
              <w:rPr>
                <w:rFonts w:ascii="Calibri" w:hAnsi="Calibri"/>
                <w:sz w:val="22"/>
              </w:rPr>
              <w:t>Industrial demand broadening (non-data center)</w:t>
            </w:r>
          </w:p>
        </w:tc>
        <w:tc>
          <w:tcPr>
            <w:tcW w:type="dxa" w:w="2160"/>
          </w:tcPr>
          <w:p>
            <w:r>
              <w:rPr>
                <w:rFonts w:ascii="Calibri" w:hAnsi="Calibri"/>
                <w:b/>
                <w:color w:val="30A46C"/>
                <w:sz w:val="22"/>
              </w:rPr>
              <w:t>Positive</w:t>
            </w:r>
          </w:p>
        </w:tc>
        <w:tc>
          <w:tcPr>
            <w:tcW w:type="dxa" w:w="2160"/>
          </w:tcPr>
          <w:p>
            <w:r>
              <w:rPr>
                <w:rFonts w:ascii="Calibri" w:hAnsi="Calibri"/>
                <w:sz w:val="22"/>
              </w:rPr>
              <w:t>AME, ROK, ITW, EMR</w:t>
            </w:r>
          </w:p>
        </w:tc>
        <w:tc>
          <w:tcPr>
            <w:tcW w:type="dxa" w:w="2160"/>
          </w:tcPr>
          <w:p>
            <w:r>
              <w:rPr>
                <w:rFonts w:ascii="Calibri" w:hAnsi="Calibri"/>
                <w:sz w:val="22"/>
              </w:rPr>
              <w:t>Supports 3% Q4 industrial organic growth guide (best of FY26)</w:t>
            </w:r>
          </w:p>
        </w:tc>
      </w:tr>
      <w:tr>
        <w:tc>
          <w:tcPr>
            <w:tcW w:type="dxa" w:w="2160"/>
          </w:tcPr>
          <w:p>
            <w:r>
              <w:rPr>
                <w:rFonts w:ascii="Calibri" w:hAnsi="Calibri"/>
                <w:sz w:val="22"/>
              </w:rPr>
              <w:t>Transportation / off-highway improving</w:t>
            </w:r>
          </w:p>
        </w:tc>
        <w:tc>
          <w:tcPr>
            <w:tcW w:type="dxa" w:w="2160"/>
          </w:tcPr>
          <w:p>
            <w:r>
              <w:rPr>
                <w:rFonts w:ascii="Calibri" w:hAnsi="Calibri"/>
                <w:b/>
                <w:color w:val="30A46C"/>
                <w:sz w:val="22"/>
              </w:rPr>
              <w:t>Positive</w:t>
            </w:r>
          </w:p>
        </w:tc>
        <w:tc>
          <w:tcPr>
            <w:tcW w:type="dxa" w:w="2160"/>
          </w:tcPr>
          <w:p>
            <w:r>
              <w:rPr>
                <w:rFonts w:ascii="Calibri" w:hAnsi="Calibri"/>
                <w:sz w:val="22"/>
              </w:rPr>
              <w:t>CMI</w:t>
            </w:r>
          </w:p>
        </w:tc>
        <w:tc>
          <w:tcPr>
            <w:tcW w:type="dxa" w:w="2160"/>
          </w:tcPr>
          <w:p>
            <w:r>
              <w:rPr>
                <w:rFonts w:ascii="Calibri" w:hAnsi="Calibri"/>
                <w:sz w:val="22"/>
              </w:rPr>
              <w:t>Supports PH’s raised transportation outlook (low single-digit decline vs. mid-single-digit prior)</w:t>
            </w:r>
          </w:p>
        </w:tc>
      </w:tr>
      <w:tr>
        <w:tc>
          <w:tcPr>
            <w:tcW w:type="dxa" w:w="2160"/>
          </w:tcPr>
          <w:p>
            <w:r>
              <w:rPr>
                <w:rFonts w:ascii="Calibri" w:hAnsi="Calibri"/>
                <w:sz w:val="22"/>
              </w:rPr>
              <w:t>40%+ incremental margins achievable</w:t>
            </w:r>
          </w:p>
        </w:tc>
        <w:tc>
          <w:tcPr>
            <w:tcW w:type="dxa" w:w="2160"/>
          </w:tcPr>
          <w:p>
            <w:r>
              <w:rPr>
                <w:rFonts w:ascii="Calibri" w:hAnsi="Calibri"/>
                <w:b/>
                <w:color w:val="30A46C"/>
                <w:sz w:val="22"/>
              </w:rPr>
              <w:t>Positive</w:t>
            </w:r>
          </w:p>
        </w:tc>
        <w:tc>
          <w:tcPr>
            <w:tcW w:type="dxa" w:w="2160"/>
          </w:tcPr>
          <w:p>
            <w:r>
              <w:rPr>
                <w:rFonts w:ascii="Calibri" w:hAnsi="Calibri"/>
                <w:sz w:val="22"/>
              </w:rPr>
              <w:t>ROK, AME, ITW</w:t>
            </w:r>
          </w:p>
        </w:tc>
        <w:tc>
          <w:tcPr>
            <w:tcW w:type="dxa" w:w="2160"/>
          </w:tcPr>
          <w:p>
            <w:r>
              <w:rPr>
                <w:rFonts w:ascii="Calibri" w:hAnsi="Calibri"/>
                <w:sz w:val="22"/>
              </w:rPr>
              <w:t>Validates PH’s 40% incremental margin guide for FY26</w:t>
            </w:r>
          </w:p>
        </w:tc>
      </w:tr>
      <w:tr>
        <w:tc>
          <w:tcPr>
            <w:tcW w:type="dxa" w:w="2160"/>
          </w:tcPr>
          <w:p>
            <w:r>
              <w:rPr>
                <w:rFonts w:ascii="Calibri" w:hAnsi="Calibri"/>
                <w:sz w:val="22"/>
              </w:rPr>
              <w:t>Inflation / price-cost timing lag</w:t>
            </w:r>
          </w:p>
        </w:tc>
        <w:tc>
          <w:tcPr>
            <w:tcW w:type="dxa" w:w="2160"/>
          </w:tcPr>
          <w:p>
            <w:r>
              <w:rPr>
                <w:rFonts w:ascii="Calibri" w:hAnsi="Calibri"/>
                <w:b/>
                <w:color w:val="E5484D"/>
                <w:sz w:val="22"/>
              </w:rPr>
              <w:t>Caution</w:t>
            </w:r>
          </w:p>
        </w:tc>
        <w:tc>
          <w:tcPr>
            <w:tcW w:type="dxa" w:w="2160"/>
          </w:tcPr>
          <w:p>
            <w:r>
              <w:rPr>
                <w:rFonts w:ascii="Calibri" w:hAnsi="Calibri"/>
                <w:sz w:val="22"/>
              </w:rPr>
              <w:t>ETN, ITW, ROK</w:t>
            </w:r>
          </w:p>
        </w:tc>
        <w:tc>
          <w:tcPr>
            <w:tcW w:type="dxa" w:w="2160"/>
          </w:tcPr>
          <w:p>
            <w:r>
              <w:rPr>
                <w:rFonts w:ascii="Calibri" w:hAnsi="Calibri"/>
                <w:sz w:val="22"/>
              </w:rPr>
              <w:t>Modest risk to PH’s 27.4% Q4 segment margin guide; Win Strategy pricing is the mitigant</w:t>
            </w:r>
          </w:p>
        </w:tc>
      </w:tr>
      <w:tr>
        <w:tc>
          <w:tcPr>
            <w:tcW w:type="dxa" w:w="2160"/>
          </w:tcPr>
          <w:p>
            <w:r>
              <w:rPr>
                <w:rFonts w:ascii="Calibri" w:hAnsi="Calibri"/>
                <w:sz w:val="22"/>
              </w:rPr>
              <w:t>Middle East / geopolitical disruption</w:t>
            </w:r>
          </w:p>
        </w:tc>
        <w:tc>
          <w:tcPr>
            <w:tcW w:type="dxa" w:w="2160"/>
          </w:tcPr>
          <w:p>
            <w:r>
              <w:rPr>
                <w:rFonts w:ascii="Calibri" w:hAnsi="Calibri"/>
                <w:b/>
                <w:color w:val="E5484D"/>
                <w:sz w:val="22"/>
              </w:rPr>
              <w:t>Caution</w:t>
            </w:r>
          </w:p>
        </w:tc>
        <w:tc>
          <w:tcPr>
            <w:tcW w:type="dxa" w:w="2160"/>
          </w:tcPr>
          <w:p>
            <w:r>
              <w:rPr>
                <w:rFonts w:ascii="Calibri" w:hAnsi="Calibri"/>
                <w:sz w:val="22"/>
              </w:rPr>
              <w:t>EMR</w:t>
            </w:r>
          </w:p>
        </w:tc>
        <w:tc>
          <w:tcPr>
            <w:tcW w:type="dxa" w:w="2160"/>
          </w:tcPr>
          <w:p>
            <w:r>
              <w:rPr>
                <w:rFonts w:ascii="Calibri" w:hAnsi="Calibri"/>
                <w:sz w:val="22"/>
              </w:rPr>
              <w:t>Watch item for PH’s international industrial segment; not flagged as material by PH management</w:t>
            </w:r>
          </w:p>
        </w:tc>
      </w:tr>
      <w:tr>
        <w:tc>
          <w:tcPr>
            <w:tcW w:type="dxa" w:w="2160"/>
          </w:tcPr>
          <w:p>
            <w:r>
              <w:rPr>
                <w:rFonts w:ascii="Calibri" w:hAnsi="Calibri"/>
                <w:sz w:val="22"/>
              </w:rPr>
              <w:t>Peer guidance raises across the board</w:t>
            </w:r>
          </w:p>
        </w:tc>
        <w:tc>
          <w:tcPr>
            <w:tcW w:type="dxa" w:w="2160"/>
          </w:tcPr>
          <w:p>
            <w:r>
              <w:rPr>
                <w:rFonts w:ascii="Calibri" w:hAnsi="Calibri"/>
                <w:b/>
                <w:color w:val="30A46C"/>
                <w:sz w:val="22"/>
              </w:rPr>
              <w:t>Positive</w:t>
            </w:r>
          </w:p>
        </w:tc>
        <w:tc>
          <w:tcPr>
            <w:tcW w:type="dxa" w:w="2160"/>
          </w:tcPr>
          <w:p>
            <w:r>
              <w:rPr>
                <w:rFonts w:ascii="Calibri" w:hAnsi="Calibri"/>
                <w:sz w:val="22"/>
              </w:rPr>
              <w:t>ETN, AME, ROK, CMI, ITW</w:t>
            </w:r>
          </w:p>
        </w:tc>
        <w:tc>
          <w:tcPr>
            <w:tcW w:type="dxa" w:w="2160"/>
          </w:tcPr>
          <w:p>
            <w:r>
              <w:rPr>
                <w:rFonts w:ascii="Calibri" w:hAnsi="Calibri"/>
                <w:sz w:val="22"/>
              </w:rPr>
              <w:t>Reduces risk of negative macro surprise; sector-wide demand tracking above initial expectations</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transactions (Form 4 buys or sells) were identified for PH in the period since the April 30, 2026 earnings call through August 5, 2026. The absence of insider selling ahead of a print where the stock is near all-time highs (~$997) is a mild positive signal — insiders are not taking profits at elevated levels.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found in the SEC Form 4 database for the period May 1 – August 5, 2026</w:t>
            </w:r>
          </w:p>
        </w:tc>
      </w:tr>
    </w:tbl>
    <w:p>
      <w:r>
        <w:rPr>
          <w:rFonts w:ascii="Calibri" w:hAnsi="Calibri"/>
          <w:b/>
          <w:color w:val="525866"/>
          <w:sz w:val="22"/>
        </w:rPr>
        <w:t xml:space="preserve">Note: </w:t>
      </w:r>
      <w:r>
        <w:rPr>
          <w:rFonts w:ascii="Calibri" w:hAnsi="Calibri"/>
          <w:color w:val="525866"/>
          <w:sz w:val="22"/>
        </w:rPr>
        <w:t>Only open-market buys and sells (Form 4 codes P/S) and 10b5-1 plan initiations are included. Routine equity award vesting and tax withholding transactions are excluded. The absence of reported transactions may reflect pre-clearance blackout periods ahead of earnings, which is standard practice for large-cap industrials. Source: SEC Form 4 filings via insider transaction database.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