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pnw-earnings-predictions--2026-08-04"/>
    <w:p>
      <w:pPr>
        <w:pStyle w:val="Heading1"/>
      </w:pPr>
      <w:r>
        <w:t xml:space="preserve">PNW Earnings Predictions — 2026-08-04</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PNW</w:t>
            </w:r>
          </w:p>
        </w:tc>
        <w:tc>
          <w:tcPr/>
          <w:p>
            <w:pPr>
              <w:pStyle w:val="Compact"/>
            </w:pPr>
            <w:r>
              <w:t xml:space="preserve">Report</w:t>
            </w:r>
          </w:p>
        </w:tc>
        <w:tc>
          <w:tcPr/>
          <w:p>
            <w:pPr>
              <w:pStyle w:val="Compact"/>
            </w:pPr>
            <w:r>
              <w:t xml:space="preserve">Q2 2026 Diluted EPS</w:t>
            </w:r>
          </w:p>
        </w:tc>
        <w:tc>
          <w:tcPr/>
          <w:p>
            <w:pPr>
              <w:pStyle w:val="Compact"/>
            </w:pPr>
            <w:r>
              <w:t xml:space="preserve">BEAT</w:t>
            </w:r>
          </w:p>
        </w:tc>
        <w:tc>
          <w:tcPr/>
          <w:p>
            <w:pPr>
              <w:pStyle w:val="Compact"/>
            </w:pPr>
            <w:r>
              <w:t xml:space="preserve">pred ~$1.62 vs. cons $1.49</w:t>
            </w:r>
          </w:p>
        </w:tc>
        <w:tc>
          <w:tcPr/>
          <w:p>
            <w:pPr>
              <w:pStyle w:val="Compact"/>
            </w:pPr>
            <w:r>
              <w:t xml:space="preserve">HIGH</w:t>
            </w:r>
          </w:p>
        </w:tc>
      </w:tr>
      <w:tr>
        <w:tc>
          <w:tcPr/>
          <w:p>
            <w:pPr>
              <w:pStyle w:val="Compact"/>
            </w:pPr>
            <w:r>
              <w:t xml:space="preserve">PNW</w:t>
            </w:r>
          </w:p>
        </w:tc>
        <w:tc>
          <w:tcPr/>
          <w:p>
            <w:pPr>
              <w:pStyle w:val="Compact"/>
            </w:pPr>
            <w:r>
              <w:t xml:space="preserve">Report</w:t>
            </w:r>
          </w:p>
        </w:tc>
        <w:tc>
          <w:tcPr/>
          <w:p>
            <w:pPr>
              <w:pStyle w:val="Compact"/>
            </w:pPr>
            <w:r>
              <w:t xml:space="preserve">Q2 2026 Total Revenue</w:t>
            </w:r>
          </w:p>
        </w:tc>
        <w:tc>
          <w:tcPr/>
          <w:p>
            <w:pPr>
              <w:pStyle w:val="Compact"/>
            </w:pPr>
            <w:r>
              <w:t xml:space="preserve">BEAT</w:t>
            </w:r>
          </w:p>
        </w:tc>
        <w:tc>
          <w:tcPr/>
          <w:p>
            <w:pPr>
              <w:pStyle w:val="Compact"/>
            </w:pPr>
            <w:r>
              <w:t xml:space="preserve">pred ~$1.44B vs. cons $1.40B</w:t>
            </w:r>
          </w:p>
        </w:tc>
        <w:tc>
          <w:tcPr/>
          <w:p>
            <w:pPr>
              <w:pStyle w:val="Compact"/>
            </w:pPr>
            <w:r>
              <w:t xml:space="preserve">MEDIUM</w:t>
            </w:r>
          </w:p>
        </w:tc>
      </w:tr>
      <w:tr>
        <w:tc>
          <w:tcPr/>
          <w:p>
            <w:pPr>
              <w:pStyle w:val="Compact"/>
            </w:pPr>
            <w:r>
              <w:t xml:space="preserve">PNW</w:t>
            </w:r>
          </w:p>
        </w:tc>
        <w:tc>
          <w:tcPr/>
          <w:p>
            <w:pPr>
              <w:pStyle w:val="Compact"/>
            </w:pPr>
            <w:r>
              <w:t xml:space="preserve">Report</w:t>
            </w:r>
          </w:p>
        </w:tc>
        <w:tc>
          <w:tcPr/>
          <w:p>
            <w:pPr>
              <w:pStyle w:val="Compact"/>
            </w:pPr>
            <w:r>
              <w:t xml:space="preserve">Q2 2026 Total Electric Sales (GWh)</w:t>
            </w:r>
          </w:p>
        </w:tc>
        <w:tc>
          <w:tcPr/>
          <w:p>
            <w:pPr>
              <w:pStyle w:val="Compact"/>
            </w:pPr>
            <w:r>
              <w:t xml:space="preserve">BEAT</w:t>
            </w:r>
          </w:p>
        </w:tc>
        <w:tc>
          <w:tcPr/>
          <w:p>
            <w:pPr>
              <w:pStyle w:val="Compact"/>
            </w:pPr>
            <w:r>
              <w:t xml:space="preserve">pred ~9,950 GWh vs. cons 9,722 GWh</w:t>
            </w:r>
          </w:p>
        </w:tc>
        <w:tc>
          <w:tcPr/>
          <w:p>
            <w:pPr>
              <w:pStyle w:val="Compact"/>
            </w:pPr>
            <w:r>
              <w:t xml:space="preserve">MEDIUM</w:t>
            </w:r>
          </w:p>
        </w:tc>
      </w:tr>
      <w:tr>
        <w:tc>
          <w:tcPr/>
          <w:p>
            <w:pPr>
              <w:pStyle w:val="Compact"/>
            </w:pPr>
            <w:r>
              <w:t xml:space="preserve">PNW</w:t>
            </w:r>
          </w:p>
        </w:tc>
        <w:tc>
          <w:tcPr/>
          <w:p>
            <w:pPr>
              <w:pStyle w:val="Compact"/>
            </w:pPr>
            <w:r>
              <w:t xml:space="preserve">Guide</w:t>
            </w:r>
          </w:p>
        </w:tc>
        <w:tc>
          <w:tcPr/>
          <w:p>
            <w:pPr>
              <w:pStyle w:val="Compact"/>
            </w:pPr>
            <w:r>
              <w:t xml:space="preserve">FY2026 Diluted EPS Guidance</w:t>
            </w:r>
          </w:p>
        </w:tc>
        <w:tc>
          <w:tcPr/>
          <w:p>
            <w:pPr>
              <w:pStyle w:val="Compact"/>
            </w:pPr>
            <w:r>
              <w:t xml:space="preserve">UNCHANGED</w:t>
            </w:r>
          </w:p>
        </w:tc>
        <w:tc>
          <w:tcPr/>
          <w:p>
            <w:pPr>
              <w:pStyle w:val="Compact"/>
            </w:pPr>
            <w:r>
              <w:t xml:space="preserve">guide ~</w:t>
            </w:r>
            <m:oMath>
              <m:r>
                <m:t>4.55</m:t>
              </m:r>
              <m:r>
                <m:rPr>
                  <m:sty m:val="p"/>
                </m:rPr>
                <m:t>−</m:t>
              </m:r>
            </m:oMath>
            <w:r>
              <w:t xml:space="preserve">4.75 (mid $4.65) vs. cons $4.84 (FY2026)</w:t>
            </w:r>
          </w:p>
        </w:tc>
        <w:tc>
          <w:tcPr/>
          <w:p>
            <w:pPr>
              <w:pStyle w:val="Compact"/>
            </w:pPr>
            <w:r>
              <w:t xml:space="preserve">HIGH</w:t>
            </w:r>
          </w:p>
        </w:tc>
      </w:tr>
      <w:tr>
        <w:tc>
          <w:tcPr/>
          <w:p>
            <w:pPr>
              <w:pStyle w:val="Compact"/>
            </w:pPr>
            <w:r>
              <w:t xml:space="preserve">PNW</w:t>
            </w:r>
          </w:p>
        </w:tc>
        <w:tc>
          <w:tcPr/>
          <w:p>
            <w:pPr>
              <w:pStyle w:val="Compact"/>
            </w:pPr>
            <w:r>
              <w:t xml:space="preserve">Guide</w:t>
            </w:r>
          </w:p>
        </w:tc>
        <w:tc>
          <w:tcPr/>
          <w:p>
            <w:pPr>
              <w:pStyle w:val="Compact"/>
            </w:pPr>
            <w:r>
              <w:t xml:space="preserve">FY2026 Weather-Normalized Retail Sales Growth Guidance</w:t>
            </w:r>
          </w:p>
        </w:tc>
        <w:tc>
          <w:tcPr/>
          <w:p>
            <w:pPr>
              <w:pStyle w:val="Compact"/>
            </w:pPr>
            <w:r>
              <w:t xml:space="preserve">UNCHANGED</w:t>
            </w:r>
          </w:p>
        </w:tc>
        <w:tc>
          <w:tcPr/>
          <w:p>
            <w:pPr>
              <w:pStyle w:val="Compact"/>
            </w:pPr>
            <w:r>
              <w:t xml:space="preserve">guide ~4%-6% (mid 5%) vs. implied Street run-rate ~9.4% YTD trend (FY2026)</w:t>
            </w:r>
          </w:p>
        </w:tc>
        <w:tc>
          <w:tcPr/>
          <w:p>
            <w:pPr>
              <w:pStyle w:val="Compact"/>
            </w:pPr>
            <w:r>
              <w:t xml:space="preserve">MEDIUM</w:t>
            </w:r>
          </w:p>
        </w:tc>
      </w:tr>
      <w:tr>
        <w:tc>
          <w:tcPr/>
          <w:p>
            <w:pPr>
              <w:pStyle w:val="Compact"/>
            </w:pPr>
            <w:r>
              <w:t xml:space="preserve">PNW</w:t>
            </w:r>
          </w:p>
        </w:tc>
        <w:tc>
          <w:tcPr/>
          <w:p>
            <w:pPr>
              <w:pStyle w:val="Compact"/>
            </w:pPr>
            <w:r>
              <w:t xml:space="preserve">Guide</w:t>
            </w:r>
          </w:p>
        </w:tc>
        <w:tc>
          <w:tcPr/>
          <w:p>
            <w:pPr>
              <w:pStyle w:val="Compact"/>
            </w:pPr>
            <w:r>
              <w:t xml:space="preserve">2025 Rate Case ROE/Outcome Commentary (Docket E-01345A-25-0105)</w:t>
            </w:r>
          </w:p>
        </w:tc>
        <w:tc>
          <w:tcPr/>
          <w:p>
            <w:pPr>
              <w:pStyle w:val="Compact"/>
            </w:pPr>
            <w:r>
              <w:t xml:space="preserve">UNKNOWN</w:t>
            </w:r>
          </w:p>
        </w:tc>
        <w:tc>
          <w:tcPr/>
          <w:p>
            <w:pPr>
              <w:pStyle w:val="Compact"/>
            </w:pPr>
            <w:r>
              <w:t xml:space="preserve">guide ~10.70% APS ask vs. Staff/RUCO 9.00%-9.80% recommended, no ROO expected until (Q4 2026)</w:t>
            </w:r>
          </w:p>
        </w:tc>
        <w:tc>
          <w:tcPr/>
          <w:p>
            <w:pPr>
              <w:pStyle w:val="Compact"/>
            </w:pPr>
            <w:r>
              <w:t xml:space="preserve">LOW</w:t>
            </w:r>
          </w:p>
        </w:tc>
      </w:tr>
      <w:tr>
        <w:tc>
          <w:tcPr/>
          <w:p>
            <w:pPr>
              <w:pStyle w:val="Compact"/>
            </w:pPr>
            <w:r>
              <w:t xml:space="preserve">PNW</w:t>
            </w:r>
          </w:p>
        </w:tc>
        <w:tc>
          <w:tcPr/>
          <w:p>
            <w:pPr>
              <w:pStyle w:val="Compact"/>
            </w:pPr>
            <w:r>
              <w:t xml:space="preserve">Return</w:t>
            </w:r>
          </w:p>
        </w:tc>
        <w:tc>
          <w:tcPr/>
          <w:p>
            <w:pPr>
              <w:pStyle w:val="Compact"/>
            </w:pPr>
            <w:r>
              <w:t xml:space="preserve">Day-1 residual (stock − beta × S&amp;P 500)</w:t>
            </w:r>
          </w:p>
        </w:tc>
        <w:tc>
          <w:tcPr/>
          <w:p>
            <w:pPr>
              <w:pStyle w:val="Compact"/>
            </w:pPr>
            <w:r>
              <w:t xml:space="preserve">+1.2%</w:t>
            </w:r>
          </w:p>
        </w:tc>
        <w:tc>
          <w:tcPr/>
          <w:p>
            <w:pPr>
              <w:pStyle w:val="Compact"/>
            </w:pPr>
            <w:r>
              <w:t xml:space="preserve">—</w:t>
            </w:r>
          </w:p>
        </w:tc>
        <w:tc>
          <w:tcPr/>
          <w:p>
            <w:pPr>
              <w:pStyle w:val="Compact"/>
            </w:pPr>
            <w:r>
              <w:t xml:space="preserve">MEDIUM</w:t>
            </w:r>
          </w:p>
        </w:tc>
      </w:tr>
      <w:tr>
        <w:tc>
          <w:tcPr/>
          <w:p>
            <w:pPr>
              <w:pStyle w:val="Compact"/>
            </w:pPr>
            <w:r>
              <w:t xml:space="preserve">PNW</w:t>
            </w:r>
          </w:p>
        </w:tc>
        <w:tc>
          <w:tcPr/>
          <w:p>
            <w:pPr>
              <w:pStyle w:val="Compact"/>
            </w:pPr>
            <w:r>
              <w:t xml:space="preserve">Return</w:t>
            </w:r>
          </w:p>
        </w:tc>
        <w:tc>
          <w:tcPr/>
          <w:p>
            <w:pPr>
              <w:pStyle w:val="Compact"/>
            </w:pPr>
            <w:r>
              <w:t xml:space="preserve">5-day cumulative residual</w:t>
            </w:r>
          </w:p>
        </w:tc>
        <w:tc>
          <w:tcPr/>
          <w:p>
            <w:pPr>
              <w:pStyle w:val="Compact"/>
            </w:pPr>
            <w:r>
              <w:t xml:space="preserve">+0.8% (STABILIZE)</w:t>
            </w:r>
          </w:p>
        </w:tc>
        <w:tc>
          <w:tcPr/>
          <w:p>
            <w:pPr>
              <w:pStyle w:val="Compact"/>
            </w:pPr>
            <w:r>
              <w:t xml:space="preserve">A weather-driven EPS/sales beat is largely pre-signaled (positive Earnings ESP, Zacks Buy rank, record spring/summer heat already publicized), so the day-1 pop should be modest rather than explosive. Management is likely to reaffirm (not raise) the</w:t>
            </w:r>
            <w:r>
              <w:t xml:space="preserve"> </w:t>
            </w:r>
            <m:oMath>
              <m:r>
                <m:t>4.55</m:t>
              </m:r>
              <m:r>
                <m:rPr>
                  <m:sty m:val="p"/>
                </m:rPr>
                <m:t>−</m:t>
              </m:r>
            </m:oMath>
            <w:r>
              <w:t xml:space="preserve">4.75 FY26 EPS range since weather tailwinds are viewed as non-recurring and O&amp;M/financing costs still weigh on the framework, capping the case for durable upward estimate revisions. At the same time, the unresolved rate case (ROO not due until late Nov 2026) removes the biggest incremental catalyst that could drive a sustained re-rating either up or down in the immediate week. Net effect: limited follow-through buying and limited give-back, consistent with a stabilize pattern rather than a strong fade or continuation.</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2026-08-04T01:21:59Z</dcterms:created>
  <dcterms:modified xsi:type="dcterms:W3CDTF">2026-08-04T01:21:59Z</dcterms:modified>
</cp:coreProperties>
</file>

<file path=docProps/custom.xml><?xml version="1.0" encoding="utf-8"?>
<Properties xmlns="http://schemas.openxmlformats.org/officeDocument/2006/custom-properties" xmlns:vt="http://schemas.openxmlformats.org/officeDocument/2006/docPropsVTypes"/>
</file>