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Now I have sufficient information to write a comprehensive earnings preview.# Pinnacle West Capital (PNW) — Q2 2026 Earnings Preview</w:t>
      </w:r>
      <w:r>
        <w:t xml:space="preserve"> </w:t>
      </w:r>
      <w:r>
        <w:rPr>
          <w:b/>
          <w:bCs/>
        </w:rPr>
        <w:t xml:space="preserve">Report date:</w:t>
      </w:r>
      <w:r>
        <w:t xml:space="preserve"> </w:t>
      </w:r>
      <w:r>
        <w:t xml:space="preserve">August 4, 2026 (before market open) |</w:t>
      </w:r>
      <w:r>
        <w:t xml:space="preserve"> </w:t>
      </w:r>
      <w:r>
        <w:rPr>
          <w:b/>
          <w:bCs/>
        </w:rPr>
        <w:t xml:space="preserve">Call:</w:t>
      </w:r>
      <w:r>
        <w:t xml:space="preserve"> </w:t>
      </w:r>
      <w:r>
        <w:t xml:space="preserve">12:00 PM ET</w:t>
      </w:r>
    </w:p>
    <w:p>
      <w:r>
        <w:pict>
          <v:rect style="width:0;height:1.5pt" o:hralign="center" o:hrstd="t" o:hr="t"/>
        </w:pict>
      </w:r>
    </w:p>
    <w:bookmarkStart w:id="9" w:name="quick-take"/>
    <w:p>
      <w:pPr>
        <w:pStyle w:val="Heading2"/>
      </w:pPr>
      <w:r>
        <w:t xml:space="preserve">Quick Take</w:t>
      </w:r>
    </w:p>
    <w:p>
      <w:pPr>
        <w:pStyle w:val="FirstParagraph"/>
      </w:pPr>
      <w:r>
        <w:t xml:space="preserve">Pinnacle West reports second-quarter 2026 results tomorrow morning, followed by a call at noon ET. The setup is constructive: the company beat wildly in Q1 (helped by the hottest winter/spring on record in the Phoenix area), Arizona's heat has stayed extreme into summer, and the long-running 2025 rate case has moved into its final, most-watched phase. Wall Street's tone into the print is "cautiously constructive" — a Moderate Buy consensus, but a stock that has run hard in 2026 and pulled back from recent highs.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Consensus EPS (Zacks)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~$1.49</w:t>
            </w:r>
            <w:r>
              <w:t xml:space="preserve">, down ~5.7% y/y from $1.58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Consensus revenue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~$1.40B</w:t>
            </w:r>
            <w:r>
              <w:t xml:space="preserve">, up ~3.1% y/y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Consensus electric sales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~9,722 GWh</w:t>
            </w:r>
            <w:r>
              <w:t xml:space="preserve">, up ~3.1% y/y</w:t>
            </w:r>
          </w:p>
        </w:tc>
      </w:tr>
      <w:tr>
        <w:tc>
          <w:tcPr/>
          <w:p>
            <w:pPr>
              <w:pStyle w:val="Compact"/>
            </w:pPr>
            <w:r>
              <w:t xml:space="preserve">FY2026 guidance (company)</w:t>
            </w:r>
          </w:p>
        </w:tc>
        <w:tc>
          <w:tcPr/>
          <w:p>
            <w:pPr>
              <w:pStyle w:val="Compact"/>
            </w:pPr>
            <m:oMath>
              <m:r>
                <m:t>4.55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4.75</w:t>
            </w:r>
            <w:r>
              <w:t xml:space="preserve"> </w:t>
            </w:r>
            <w:r>
              <w:t xml:space="preserve">diluted EPS, weather-normalized (reaffirmed each quarter)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Stock, YTD 2026 through 8/3</w:t>
            </w:r>
          </w:p>
        </w:tc>
        <w:tc>
          <w:tcPr/>
          <w:p>
            <w:pPr>
              <w:pStyle w:val="Compact"/>
            </w:pPr>
            <w:r>
              <w:t xml:space="preserve">~+14% (from $88.14 to $100.84), off recent highs near $109</w:t>
            </w:r>
          </w:p>
        </w:tc>
      </w:tr>
      <w:tr>
        <w:tc>
          <w:tcPr/>
          <w:p>
            <w:pPr>
              <w:pStyle w:val="Compact"/>
            </w:pPr>
            <w:r>
              <w:t xml:space="preserve">Analyst sentiment</w:t>
            </w:r>
          </w:p>
        </w:tc>
        <w:tc>
          <w:tcPr/>
          <w:p>
            <w:pPr>
              <w:pStyle w:val="Compact"/>
            </w:pPr>
            <w:r>
              <w:t xml:space="preserve">Moderate Buy (~4 Strong Buy / 14 Hold of 18 analysts); mean price target roughly $105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9"/>
    <w:bookmarkStart w:id="10" w:name="X320c01b0d97a8b76b17447f2004709ad7326c34"/>
    <w:p>
      <w:pPr>
        <w:pStyle w:val="Heading2"/>
      </w:pPr>
      <w:r>
        <w:t xml:space="preserve">1. Setting the Table: What Happened in Q1</w:t>
      </w:r>
    </w:p>
    <w:p>
      <w:pPr>
        <w:pStyle w:val="FirstParagraph"/>
      </w:pPr>
      <w:r>
        <w:t xml:space="preserve">Q1 2026 was a blowout relative to a year-ago loss. Pinnacle West reported</w:t>
      </w:r>
      <w:r>
        <w:t xml:space="preserve"> </w:t>
      </w:r>
      <w:r>
        <w:rPr>
          <w:b/>
          <w:bCs/>
        </w:rPr>
        <w:t xml:space="preserve">first-quarter 2026 net income of $32.9 million, or $0.27 per diluted share</w:t>
      </w:r>
      <w:r>
        <w:t xml:space="preserve">, versus a net loss of $4.6 million (a $0.04 loss per share) in Q1 2025. Management attributed the swing largely to higher transmission revenue, favorable weather, higher sales/usage and lower O&amp;M. On the call, CFO Andrew Cooper quantified the drivers: transmission contributed $0.16 of benefit, and weather — driven by the hottest March on record with nine days at or above 100°F — added $0.13. Customer growth ran at 2.2% and weather-normalized sales growth was a striking</w:t>
      </w:r>
      <w:r>
        <w:t xml:space="preserve"> </w:t>
      </w:r>
      <w:r>
        <w:rPr>
          <w:b/>
          <w:bCs/>
        </w:rPr>
        <w:t xml:space="preserve">9.4%</w:t>
      </w:r>
      <w:r>
        <w:t xml:space="preserve"> </w:t>
      </w:r>
      <w:r>
        <w:t xml:space="preserve">(7.4% excluding a prior-year one-time adjustment), with</w:t>
      </w:r>
      <w:r>
        <w:t xml:space="preserve"> </w:t>
      </w:r>
      <w:r>
        <w:rPr>
          <w:b/>
          <w:bCs/>
        </w:rPr>
        <w:t xml:space="preserve">C&amp;I growth of 14.6%</w:t>
      </w:r>
      <w:r>
        <w:t xml:space="preserve">, well above the top of the 4%–6% full-year sales-growth guidance band. Management reaffirmed full-year guidance of</w:t>
      </w:r>
      <w:r>
        <w:t xml:space="preserve"> </w:t>
      </w:r>
      <m:oMath>
        <m:r>
          <m:t>4.55</m:t>
        </m:r>
        <m:r>
          <m:rPr>
            <m:sty m:val="p"/>
          </m:rPr>
          <m:t>–</m:t>
        </m:r>
      </m:oMath>
      <w:r>
        <w:t xml:space="preserve">4.75 per share and kept its 5%–7% long-term sales-growth outlook through 2030 intact.</w:t>
      </w:r>
    </w:p>
    <w:bookmarkEnd w:id="10"/>
    <w:bookmarkStart w:id="11" w:name="Xa30b4f1be82275d27e15687d0049b3545d607df"/>
    <w:p>
      <w:pPr>
        <w:pStyle w:val="Heading2"/>
      </w:pPr>
      <w:r>
        <w:t xml:space="preserve">2. The Big Swing Factor for Q2: Weather</w:t>
      </w:r>
    </w:p>
    <w:p>
      <w:pPr>
        <w:pStyle w:val="FirstParagraph"/>
      </w:pPr>
      <w:r>
        <w:t xml:space="preserve">Weather is the single largest quarter-to-quarter driver of PNW's earnings (management estimates typical weather variance can move annual net income by up to</w:t>
      </w:r>
      <w:r>
        <w:t xml:space="preserve"> </w:t>
      </w:r>
      <m:oMath>
        <m:r>
          <m:t>30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,</m:t>
        </m:r>
        <m:r>
          <m:t>a</m:t>
        </m:r>
        <m:r>
          <m:t>n</m:t>
        </m:r>
        <m:r>
          <m:t>d</m:t>
        </m:r>
        <m:r>
          <m:t>r</m:t>
        </m:r>
        <m:r>
          <m:t>e</m:t>
        </m:r>
        <m:r>
          <m:t>c</m:t>
        </m:r>
        <m:r>
          <m:t>e</m:t>
        </m:r>
        <m:r>
          <m:t>n</m:t>
        </m:r>
        <m:r>
          <m:t>t</m:t>
        </m:r>
        <m:r>
          <m:t>e</m:t>
        </m:r>
        <m:r>
          <m:t>x</m:t>
        </m:r>
        <m:r>
          <m:t>t</m:t>
        </m:r>
        <m:r>
          <m:t>r</m:t>
        </m:r>
        <m:r>
          <m:t>e</m:t>
        </m:r>
        <m:r>
          <m:t>m</m:t>
        </m:r>
        <m:r>
          <m:t>e</m:t>
        </m:r>
        <m:r>
          <m:rPr>
            <m:sty m:val="p"/>
          </m:rPr>
          <m:t>−</m:t>
        </m:r>
        <m:r>
          <m:t>w</m:t>
        </m:r>
        <m:r>
          <m:t>e</m:t>
        </m:r>
        <m:r>
          <m:t>a</m:t>
        </m:r>
        <m:r>
          <m:t>t</m:t>
        </m:r>
        <m:r>
          <m:t>h</m:t>
        </m:r>
        <m:r>
          <m:t>e</m:t>
        </m:r>
        <m:r>
          <m:t>r</m:t>
        </m:r>
        <m:r>
          <m:t>y</m:t>
        </m:r>
        <m:r>
          <m:t>e</m:t>
        </m:r>
        <m:r>
          <m:t>a</m:t>
        </m:r>
        <m:r>
          <m:t>r</m:t>
        </m:r>
        <m:r>
          <m:t>s</m:t>
        </m:r>
        <m:r>
          <m:t>h</m:t>
        </m:r>
        <m:r>
          <m:t>a</m:t>
        </m:r>
        <m:r>
          <m:t>v</m:t>
        </m:r>
        <m:r>
          <m:t>e</m:t>
        </m:r>
        <m:r>
          <m:t>e</m:t>
        </m:r>
        <m:r>
          <m:t>x</m:t>
        </m:r>
        <m:r>
          <m:t>c</m:t>
        </m:r>
        <m:r>
          <m:t>e</m:t>
        </m:r>
        <m:r>
          <m:t>e</m:t>
        </m:r>
        <m:r>
          <m:t>d</m:t>
        </m:r>
        <m:r>
          <m:t>e</m:t>
        </m:r>
        <m:r>
          <m:t>d</m:t>
        </m:r>
        <m:r>
          <m:t>t</m:t>
        </m:r>
        <m:r>
          <m:t>h</m:t>
        </m:r>
        <m:r>
          <m:t>a</m:t>
        </m:r>
        <m:r>
          <m:t>t</m:t>
        </m:r>
        <m:r>
          <m:rPr>
            <m:sty m:val="p"/>
          </m:rPr>
          <m:t>)</m:t>
        </m:r>
        <m:r>
          <m:rPr>
            <m:sty m:val="p"/>
          </m:rPr>
          <m:t>.</m:t>
        </m:r>
        <m:r>
          <m:t>L</m:t>
        </m:r>
        <m:r>
          <m:t>a</m:t>
        </m:r>
        <m:r>
          <m:t>s</m:t>
        </m:r>
        <m:r>
          <m:t>t</m:t>
        </m:r>
        <m:r>
          <m:t>y</m:t>
        </m:r>
        <m:r>
          <m:t>e</m:t>
        </m:r>
        <m:r>
          <m:t>a</m:t>
        </m:r>
        <m:sSup>
          <m:e>
            <m:r>
              <m:t>r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Q</m:t>
        </m:r>
        <m:r>
          <m:t>2</m:t>
        </m:r>
        <m:r>
          <m:t>w</m:t>
        </m:r>
        <m:r>
          <m:t>a</m:t>
        </m:r>
        <m:r>
          <m:t>s</m:t>
        </m:r>
        <m:r>
          <m:t>a</m:t>
        </m:r>
        <m:r>
          <m:t>c</m:t>
        </m:r>
        <m:r>
          <m:t>t</m:t>
        </m:r>
        <m:r>
          <m:t>u</m:t>
        </m:r>
        <m:r>
          <m:t>a</m:t>
        </m:r>
        <m:r>
          <m:t>l</m:t>
        </m:r>
        <m:r>
          <m:t>l</m:t>
        </m:r>
        <m:r>
          <m:t>y</m:t>
        </m:r>
        <m:r>
          <m:t>a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d</m:t>
        </m:r>
        <m:r>
          <m:t>o</m:t>
        </m:r>
        <m:r>
          <m:t>w</m:t>
        </m:r>
        <m:r>
          <m:t>n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q</m:t>
        </m:r>
        <m:r>
          <m:t>u</m:t>
        </m:r>
        <m:r>
          <m:t>a</m:t>
        </m:r>
        <m:r>
          <m:t>r</m:t>
        </m:r>
        <m:r>
          <m:t>t</m:t>
        </m:r>
        <m:r>
          <m:t>e</m:t>
        </m:r>
        <m:r>
          <m:t>r</m:t>
        </m:r>
        <m:r>
          <m:rPr>
            <m:sty m:val="p"/>
          </m:rPr>
          <m:t>—</m:t>
        </m:r>
        <m:r>
          <m:t>P</m:t>
        </m:r>
        <m:r>
          <m:t>N</m:t>
        </m:r>
        <m:r>
          <m:t>W</m:t>
        </m:r>
        <m:r>
          <m:t>r</m:t>
        </m:r>
        <m:r>
          <m:t>e</m:t>
        </m:r>
        <m:r>
          <m:t>p</m:t>
        </m:r>
        <m:r>
          <m:t>o</m:t>
        </m:r>
        <m:r>
          <m:t>r</m:t>
        </m:r>
        <m:r>
          <m:t>t</m:t>
        </m:r>
        <m:r>
          <m:t>e</m:t>
        </m:r>
        <m:r>
          <m:t>d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t xml:space="preserve">192.6 million of net income, or $1.58 per diluted share**, versus</w:t>
      </w:r>
      <w:r>
        <w:t xml:space="preserve"> </w:t>
      </w:r>
      <m:oMath>
        <m:r>
          <m:t>203.8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(</m:t>
        </m:r>
      </m:oMath>
      <w:r>
        <w:t xml:space="preserve">1.76/share) in Q2 2024, as milder weather (15.4% fewer cooling degree-days) offset otherwise-strong customer/sales growth of 2.4%/5.2%.</w:t>
      </w:r>
    </w:p>
    <w:p>
      <w:pPr>
        <w:pStyle w:val="BodyText"/>
      </w:pPr>
      <w:r>
        <w:t xml:space="preserve">This year's comp looks very different. Phoenix experienced its</w:t>
      </w:r>
      <w:r>
        <w:t xml:space="preserve"> </w:t>
      </w:r>
      <w:r>
        <w:rPr>
          <w:b/>
          <w:bCs/>
        </w:rPr>
        <w:t xml:space="preserve">hottest meteorological spring on record</w:t>
      </w:r>
      <w:r>
        <w:t xml:space="preserve"> </w:t>
      </w:r>
      <w:r>
        <w:t xml:space="preserve">(average temperature 80.2°F) heading into June, an early-May heat wave that nearly tied a 92-year-old record, and a major heat wave/Extreme Heat Warning in place through late July with highs of 110–116°F — potentially "the hottest temperatures so far in 2026." If that heat translated into cooling demand the way it did in Q1, it should be a tailwind versus both the Zacks consensus and last year's print, though it's also a tougher comp than an average year given how hot 2025 already was.</w:t>
      </w:r>
    </w:p>
    <w:bookmarkEnd w:id="11"/>
    <w:bookmarkStart w:id="12" w:name="X341663d12c9c2a6f5ba65c2af95a530ac4db6b9"/>
    <w:p>
      <w:pPr>
        <w:pStyle w:val="Heading2"/>
      </w:pPr>
      <w:r>
        <w:t xml:space="preserve">3. What the Sell-Side Is Modeling</w:t>
      </w:r>
    </w:p>
    <w:p>
      <w:pPr>
        <w:pStyle w:val="FirstParagraph"/>
      </w:pPr>
      <w:r>
        <w:t xml:space="preserve">Zacks' consensus pegs Q2 EPS at</w:t>
      </w:r>
      <w:r>
        <w:t xml:space="preserve"> </w:t>
      </w:r>
      <m:oMath>
        <m:r>
          <m:t>1.49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(</m:t>
        </m:r>
        <m:r>
          <m:t>d</m:t>
        </m:r>
        <m:r>
          <m:t>o</m:t>
        </m:r>
        <m:r>
          <m:t>w</m:t>
        </m:r>
        <m:r>
          <m:t>n</m:t>
        </m:r>
        <m:r>
          <m:t>5.7</m:t>
        </m:r>
      </m:oMath>
      <w:r>
        <w:rPr>
          <w:b/>
          <w:bCs/>
        </w:rPr>
        <w:t xml:space="preserve">1.40 billion</w:t>
      </w:r>
      <w:r>
        <w:t xml:space="preserve"> </w:t>
      </w:r>
      <w:r>
        <w:t xml:space="preserve">(+3.1%) and total electric sales of</w:t>
      </w:r>
      <w:r>
        <w:t xml:space="preserve"> </w:t>
      </w:r>
      <w:r>
        <w:rPr>
          <w:b/>
          <w:bCs/>
        </w:rPr>
        <w:t xml:space="preserve">9,722 GWh</w:t>
      </w:r>
      <w:r>
        <w:t xml:space="preserve"> </w:t>
      </w:r>
      <w:r>
        <w:t xml:space="preserve">(+3.1%), with the earnings model built around continued C&amp;I/data-center-driven load growth and lower core O&amp;M, partially offset by higher D&amp;A and financing costs. Notably, PNW's</w:t>
      </w:r>
      <w:r>
        <w:t xml:space="preserve"> </w:t>
      </w:r>
      <w:r>
        <w:rPr>
          <w:b/>
          <w:bCs/>
        </w:rPr>
        <w:t xml:space="preserve">Earnings ESP was reported at +0.95%</w:t>
      </w:r>
      <w:r>
        <w:t xml:space="preserve"> </w:t>
      </w:r>
      <w:r>
        <w:t xml:space="preserve">with a Zacks Rank of #2 (Buy) — a combination that historically points toward an earnings beat, and the company has topped or matched estimates in three of the last four quarters (Q1 2026 was reportedly a ~1000% "surprise" given how low the loss-quarter estimate was). Full-year 2026 consensus has generally clustered in the</w:t>
      </w:r>
      <w:r>
        <w:t xml:space="preserve"> </w:t>
      </w:r>
      <m:oMath>
        <m:r>
          <m:t>4.70</m:t>
        </m:r>
        <m:r>
          <m:rPr>
            <m:sty m:val="p"/>
          </m:rPr>
          <m:t>–</m:t>
        </m:r>
      </m:oMath>
      <w:r>
        <w:t xml:space="preserve">4.98 range, implying a mid-single-digit percentage decline from 2025's</w:t>
      </w:r>
      <w:r>
        <w:t xml:space="preserve"> </w:t>
      </w:r>
      <w:r>
        <w:rPr>
          <w:b/>
          <w:bCs/>
        </w:rPr>
        <w:t xml:space="preserve">$5.05</w:t>
      </w:r>
      <w:r>
        <w:t xml:space="preserve"> </w:t>
      </w:r>
      <w:r>
        <w:t xml:space="preserve">actual diluted EPS — with a sharper snap-back (mid-teens percentage growth) modeled for 2027 as rate-case relief and load growth flow through.</w:t>
      </w:r>
    </w:p>
    <w:bookmarkEnd w:id="12"/>
    <w:bookmarkStart w:id="13" w:name="Xc55104e5415c2b34a4ce3af038d5a216526f6d1"/>
    <w:p>
      <w:pPr>
        <w:pStyle w:val="Heading2"/>
      </w:pPr>
      <w:r>
        <w:t xml:space="preserve">4. Full-Year 2025 Base Case and Seasonality Reminder</w:t>
      </w:r>
    </w:p>
    <w:p>
      <w:pPr>
        <w:pStyle w:val="FirstParagraph"/>
      </w:pPr>
      <w:r>
        <w:t xml:space="preserve">For context,</w:t>
      </w:r>
      <w:r>
        <w:t xml:space="preserve"> </w:t>
      </w:r>
      <w:r>
        <w:rPr>
          <w:b/>
          <w:bCs/>
        </w:rPr>
        <w:t xml:space="preserve">full-year 2025 net income was $616.5 million, or $5.05 per diluted share</w:t>
      </w:r>
      <w:r>
        <w:t xml:space="preserve">, versus</w:t>
      </w:r>
      <w:r>
        <w:t xml:space="preserve"> </w:t>
      </w:r>
      <m:oMath>
        <m:r>
          <m:t>608.8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(</m:t>
        </m:r>
      </m:oMath>
      <w:r>
        <w:t xml:space="preserve">5.24/share) in 2024 — a “beat the estimates but still down y/y” story driven by weather and financing-cost headwinds. Critically, PNW's earnings are extremely seasonally lopsided toward Q3 (peak summer): Q1 2025 was a loss, Q2 2025 contributed $1.58, Q4 2025 added just $0.13 — implying</w:t>
      </w:r>
      <w:r>
        <w:t xml:space="preserve"> </w:t>
      </w:r>
      <w:r>
        <w:rPr>
          <w:b/>
          <w:bCs/>
        </w:rPr>
        <w:t xml:space="preserve">Q3 2025 alone drove roughly</w:t>
      </w:r>
      <w:r>
        <w:rPr>
          <w:b/>
          <w:bCs/>
        </w:rPr>
        <w:t xml:space="preserve"> </w:t>
      </w:r>
      <m:oMath>
        <m:r>
          <m:t>3.35</m:t>
        </m:r>
        <m:r>
          <m:rPr>
            <m:sty m:val="p"/>
          </m:rPr>
          <m:t>–</m:t>
        </m:r>
      </m:oMath>
      <w:r>
        <w:rPr>
          <w:b/>
          <w:bCs/>
        </w:rPr>
        <w:t xml:space="preserve">3.40 of the year's EPS</w:t>
      </w:r>
      <w:r>
        <w:t xml:space="preserve">. In other words, Q2 is a meaningful data point on trend, but the real swing quarter for the full-year outcome is Q3 (reported in November), which the Street currently models around $3.04, down ~10% y/y off a very tough comp (2025's summer was the third-hottest on record).</w:t>
      </w:r>
    </w:p>
    <w:bookmarkEnd w:id="13"/>
    <w:bookmarkStart w:id="14" w:name="X5834f078076274e6bb1fb8f5b9b587fb2e9e664"/>
    <w:p>
      <w:pPr>
        <w:pStyle w:val="Heading2"/>
      </w:pPr>
      <w:r>
        <w:t xml:space="preserve">5. The Rate Case — The Structural Story Investors Care About Most</w:t>
      </w:r>
    </w:p>
    <w:p>
      <w:pPr>
        <w:pStyle w:val="FirstParagraph"/>
      </w:pPr>
      <w:r>
        <w:t xml:space="preserve">The 2025 APS rate case (Docket E-01345A-25-0105) is arguably the most important overhang/catalyst on the stock, more so than any single quarter's weather. Key facts:</w:t>
      </w:r>
    </w:p>
    <w:p>
      <w:pPr>
        <w:pStyle w:val="Compact"/>
        <w:numPr>
          <w:ilvl w:val="0"/>
          <w:numId w:val="1001"/>
        </w:numPr>
      </w:pPr>
      <w:r>
        <w:t xml:space="preserve">APS filed in June 2025 seeking a **~</w:t>
      </w:r>
      <m:oMath>
        <m:r>
          <m:t>662</m:t>
        </m:r>
        <m:r>
          <m:rPr>
            <m:sty m:val="p"/>
          </m:rPr>
          <m:t>–</m:t>
        </m:r>
        <m:r>
          <m:t>694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t>t</m:t>
        </m:r>
        <m:r>
          <m:t>o</m:t>
        </m:r>
        <m:r>
          <m:t>t</m:t>
        </m:r>
        <m:r>
          <m:t>a</m:t>
        </m:r>
        <m:r>
          <m:t>l</m:t>
        </m:r>
        <m:r>
          <m:t>r</m:t>
        </m:r>
        <m:r>
          <m:t>e</m:t>
        </m:r>
        <m:r>
          <m:t>v</m:t>
        </m:r>
        <m:r>
          <m:t>e</m:t>
        </m:r>
        <m:r>
          <m:t>n</m:t>
        </m:r>
        <m:r>
          <m:t>u</m:t>
        </m:r>
        <m:r>
          <m:t>e</m:t>
        </m:r>
        <m:r>
          <m:t>r</m:t>
        </m:r>
        <m:r>
          <m:t>e</m:t>
        </m:r>
        <m:r>
          <m:t>q</m:t>
        </m:r>
        <m:r>
          <m:t>u</m:t>
        </m:r>
        <m:r>
          <m:t>i</m:t>
        </m:r>
        <m:r>
          <m:t>r</m:t>
        </m:r>
        <m:r>
          <m:t>e</m:t>
        </m:r>
        <m:r>
          <m:t>m</m:t>
        </m:r>
        <m:r>
          <m:t>e</m:t>
        </m:r>
        <m:r>
          <m:t>n</m:t>
        </m:r>
        <m:r>
          <m:t>t</m:t>
        </m:r>
        <m:r>
          <m:t>i</m:t>
        </m:r>
        <m:r>
          <m:t>n</m:t>
        </m:r>
        <m:r>
          <m:t>c</m:t>
        </m:r>
        <m:r>
          <m:t>r</m:t>
        </m:r>
        <m:r>
          <m:t>e</m:t>
        </m:r>
        <m:r>
          <m:t>a</m:t>
        </m:r>
        <m:r>
          <m:t>s</m:t>
        </m:r>
        <m:r>
          <m:t>e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(</m:t>
        </m:r>
        <m:r>
          <m:t>n</m:t>
        </m:r>
        <m:r>
          <m:t>e</m:t>
        </m:r>
        <m:r>
          <m:t>t</m:t>
        </m:r>
        <m:r>
          <m:t> </m:t>
        </m:r>
      </m:oMath>
      <w:r>
        <w:t xml:space="preserve">611 million after adjustor transfers), a</w:t>
      </w:r>
      <w:r>
        <w:t xml:space="preserve"> </w:t>
      </w:r>
      <w:r>
        <w:rPr>
          <w:b/>
          <w:bCs/>
        </w:rPr>
        <w:t xml:space="preserve">10.70% ROE</w:t>
      </w:r>
      <w:r>
        <w:t xml:space="preserve">, and a novel</w:t>
      </w:r>
      <w:r>
        <w:t xml:space="preserve"> </w:t>
      </w:r>
      <w:r>
        <w:rPr>
          <w:b/>
          <w:bCs/>
        </w:rPr>
        <w:t xml:space="preserve">Formula Rate Adjustment Mechanism (FRAM)</w:t>
      </w:r>
      <w:r>
        <w:t xml:space="preserve"> </w:t>
      </w:r>
      <w:r>
        <w:t xml:space="preserve">designed to reduce regulatory lag going forward.</w:t>
      </w:r>
    </w:p>
    <w:p>
      <w:pPr>
        <w:pStyle w:val="Compact"/>
        <w:numPr>
          <w:ilvl w:val="0"/>
          <w:numId w:val="1001"/>
        </w:numPr>
      </w:pPr>
      <w:r>
        <w:t xml:space="preserve">ACC Staff and RUCO have pushed back hard: Staff recommended only a</w:t>
      </w:r>
      <w:r>
        <w:t xml:space="preserve"> </w:t>
      </w:r>
      <m:oMath>
        <m:r>
          <m:t>525.2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t>i</m:t>
        </m:r>
        <m:r>
          <m:t>n</m:t>
        </m:r>
        <m:r>
          <m:t>c</m:t>
        </m:r>
        <m:r>
          <m:t>r</m:t>
        </m:r>
        <m:r>
          <m:t>e</m:t>
        </m:r>
        <m:r>
          <m:t>a</m:t>
        </m:r>
        <m:r>
          <m:t>s</m:t>
        </m:r>
        <m:r>
          <m:t>e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w</m:t>
        </m:r>
        <m:r>
          <m:t>i</m:t>
        </m:r>
        <m:r>
          <m:t>t</m:t>
        </m:r>
        <m:r>
          <m:t>h</m:t>
        </m:r>
        <m:r>
          <m:t>a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9.55</m:t>
        </m:r>
      </m:oMath>
      <w:r>
        <w:rPr>
          <w:b/>
          <w:bCs/>
        </w:rPr>
        <w:t xml:space="preserve">200–278 million</w:t>
      </w:r>
      <w:r>
        <w:t xml:space="preserve"> </w:t>
      </w:r>
      <w:r>
        <w:t xml:space="preserve">with an even lower</w:t>
      </w:r>
      <w:r>
        <w:t xml:space="preserve"> </w:t>
      </w:r>
      <w:r>
        <w:rPr>
          <w:b/>
          <w:bCs/>
        </w:rPr>
        <w:t xml:space="preserve">9.00%–9.20% ROE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The</w:t>
      </w:r>
      <w:r>
        <w:t xml:space="preserve"> </w:t>
      </w:r>
      <w:r>
        <w:rPr>
          <w:b/>
          <w:bCs/>
        </w:rPr>
        <w:t xml:space="preserve">evidentiary hearing began May 18, 2026 and concluded July 7, 2026</w:t>
      </w:r>
      <w:r>
        <w:t xml:space="preserve">, running</w:t>
      </w:r>
      <w:r>
        <w:t xml:space="preserve"> </w:t>
      </w:r>
      <w:r>
        <w:rPr>
          <w:b/>
          <w:bCs/>
        </w:rPr>
        <w:t xml:space="preserve">31 days total</w:t>
      </w:r>
      <w:r>
        <w:t xml:space="preserve"> </w:t>
      </w:r>
      <w:r>
        <w:t xml:space="preserve">— one of the longest rate-case hearings in ACC history, with roughly three dozen intervenors, 50+ witnesses, 300+ exhibits and ~3,400 data requests exchanged.</w:t>
      </w:r>
    </w:p>
    <w:p>
      <w:pPr>
        <w:pStyle w:val="Compact"/>
        <w:numPr>
          <w:ilvl w:val="0"/>
          <w:numId w:val="1001"/>
        </w:numPr>
      </w:pPr>
      <w:r>
        <w:t xml:space="preserve">Per the ACC's own July 10, 2026 update, the assigned Administrative Law Judge is expected to issue a</w:t>
      </w:r>
      <w:r>
        <w:t xml:space="preserve"> </w:t>
      </w:r>
      <w:r>
        <w:rPr>
          <w:b/>
          <w:bCs/>
        </w:rPr>
        <w:t xml:space="preserve">Recommended Opinion and Order (ROO) by late November 2026</w:t>
      </w:r>
      <w:r>
        <w:t xml:space="preserve">, with</w:t>
      </w:r>
      <w:r>
        <w:t xml:space="preserve"> </w:t>
      </w:r>
      <w:r>
        <w:rPr>
          <w:b/>
          <w:bCs/>
        </w:rPr>
        <w:t xml:space="preserve">Commission deliberation/vote and a final decision still targeted for Q4 2026</w:t>
      </w:r>
      <w:r>
        <w:t xml:space="preserve"> </w:t>
      </w:r>
      <w:r>
        <w:t xml:space="preserve">— consistent with company commentary that APS "cannot predict the outcome... nor when the case will be decided."</w:t>
      </w:r>
    </w:p>
    <w:p>
      <w:pPr>
        <w:pStyle w:val="Compact"/>
        <w:numPr>
          <w:ilvl w:val="0"/>
          <w:numId w:val="1001"/>
        </w:numPr>
      </w:pPr>
      <w:r>
        <w:t xml:space="preserve">Bill impact on Day 1 ranges from</w:t>
      </w:r>
      <w:r>
        <w:t xml:space="preserve"> </w:t>
      </w:r>
      <w:r>
        <w:rPr>
          <w:b/>
          <w:bCs/>
        </w:rPr>
        <w:t xml:space="preserve">10.2% (RUCO/Staff scenarios) to 14.75% (APS's rebuttal position)</w:t>
      </w:r>
      <w:r>
        <w:t xml:space="preserve"> </w:t>
      </w:r>
      <w:r>
        <w:t xml:space="preserve">— a politically sensitive number the ACC will have to weigh given Arizona's rapid population and industrial growth.</w:t>
      </w:r>
    </w:p>
    <w:p>
      <w:pPr>
        <w:pStyle w:val="FirstParagraph"/>
      </w:pPr>
      <w:r>
        <w:t xml:space="preserve">Expect the call to spend significant time on: (1) any early signals on ROE/FRAM given how contentious the FRAM mechanics were in rebuttal/surrebuttal testimony, (2) whether management still targets closing the ~200bps gap between authorized and earned ROE by 2029, and (3) messaging that a constructive, "settlement-friendly" ACC environment (per the December 2024 Formula Rate Policy Statement and the 2022 Rate Case settlement precedent) supports a reasonable outcome.</w:t>
      </w:r>
    </w:p>
    <w:bookmarkEnd w:id="14"/>
    <w:bookmarkStart w:id="15" w:name="X6655150e75286505d2c94a3d3b0f91d6392f241"/>
    <w:p>
      <w:pPr>
        <w:pStyle w:val="Heading2"/>
      </w:pPr>
      <w:r>
        <w:t xml:space="preserve">6. Growth Story: Data Centers, Semiconductors and the "20 GW Queue"</w:t>
      </w:r>
    </w:p>
    <w:p>
      <w:pPr>
        <w:pStyle w:val="FirstParagraph"/>
      </w:pPr>
      <w:r>
        <w:t xml:space="preserve">The long-term bull case is unchanged and probably gets reiterated: APS has</w:t>
      </w:r>
      <w:r>
        <w:t xml:space="preserve"> </w:t>
      </w:r>
      <w:r>
        <w:rPr>
          <w:b/>
          <w:bCs/>
        </w:rPr>
        <w:t xml:space="preserve">~4.5 GW of committed extra-high-load-factor (XHLF) load</w:t>
      </w:r>
      <w:r>
        <w:t xml:space="preserve"> </w:t>
      </w:r>
      <w:r>
        <w:t xml:space="preserve">(data centers, semiconductor fabs, manufacturing) against system peak of 8.6 GW, with</w:t>
      </w:r>
      <w:r>
        <w:t xml:space="preserve"> </w:t>
      </w:r>
      <w:r>
        <w:rPr>
          <w:b/>
          <w:bCs/>
        </w:rPr>
        <w:t xml:space="preserve">nearly 20 GW of uncommitted demand still in the interconnection queue</w:t>
      </w:r>
      <w:r>
        <w:t xml:space="preserve">. TSMC's Arizona expansion continues to anchor this story — the company highlighted supply-chain players (United Integrated Services, Sunlit Chemicals, Mornstair) buying land nearby, with</w:t>
      </w:r>
      <w:r>
        <w:t xml:space="preserve"> </w:t>
      </w:r>
      <w:r>
        <w:rPr>
          <w:b/>
          <w:bCs/>
        </w:rPr>
        <w:t xml:space="preserve">TSMC's second fab targeting 3nm volume production in H2 2027</w:t>
      </w:r>
      <w:r>
        <w:t xml:space="preserve"> </w:t>
      </w:r>
      <w:r>
        <w:t xml:space="preserve">and a third/fourth fab plus a packaging facility under construction. Management raised long-term weather-normalized sales growth guidance to</w:t>
      </w:r>
      <w:r>
        <w:t xml:space="preserve"> </w:t>
      </w:r>
      <w:r>
        <w:rPr>
          <w:b/>
          <w:bCs/>
        </w:rPr>
        <w:t xml:space="preserve">5%–7% through 2030</w:t>
      </w:r>
      <w:r>
        <w:t xml:space="preserve"> </w:t>
      </w:r>
      <w:r>
        <w:t xml:space="preserve">(from 4%–6%), with 2026 guidance at 4%–6%; Q1's 9.4% print (7.4% adjusted) is running well ahead of that band.</w:t>
      </w:r>
    </w:p>
    <w:p>
      <w:pPr>
        <w:pStyle w:val="BodyText"/>
      </w:pPr>
      <w:r>
        <w:t xml:space="preserve">Two near-term catalysts to watch: (1)</w:t>
      </w:r>
      <w:r>
        <w:t xml:space="preserve"> </w:t>
      </w:r>
      <w:r>
        <w:rPr>
          <w:b/>
          <w:bCs/>
        </w:rPr>
        <w:t xml:space="preserve">APS's next Integrated Resource Plan (IRP) is due to be filed August 3, 2026</w:t>
      </w:r>
      <w:r>
        <w:t xml:space="preserve"> </w:t>
      </w:r>
      <w:r>
        <w:t xml:space="preserve">— literally the day before this earnings call — and should refresh long-term load and resource-need assumptions; and (2) the</w:t>
      </w:r>
      <w:r>
        <w:t xml:space="preserve"> </w:t>
      </w:r>
      <w:r>
        <w:rPr>
          <w:b/>
          <w:bCs/>
        </w:rPr>
        <w:t xml:space="preserve">subscription-model bilateral contracts</w:t>
      </w:r>
      <w:r>
        <w:t xml:space="preserve"> </w:t>
      </w:r>
      <w:r>
        <w:t xml:space="preserve">with large-load customers (targeted at up to ~1.2 GW initially) remain in negotiation, with management targeting</w:t>
      </w:r>
      <w:r>
        <w:t xml:space="preserve"> </w:t>
      </w:r>
      <w:r>
        <w:rPr>
          <w:b/>
          <w:bCs/>
        </w:rPr>
        <w:t xml:space="preserve">commission filings before year-end 2026</w:t>
      </w:r>
      <w:r>
        <w:t xml:space="preserve">.</w:t>
      </w:r>
    </w:p>
    <w:bookmarkEnd w:id="15"/>
    <w:bookmarkStart w:id="16" w:name="X17819262fe19a9f2f6ea31b60ab6e6b31401374"/>
    <w:p>
      <w:pPr>
        <w:pStyle w:val="Heading2"/>
      </w:pPr>
      <w:r>
        <w:t xml:space="preserve">7. Capital Plan, Balance Sheet and Financing</w:t>
      </w:r>
    </w:p>
    <w:p>
      <w:pPr>
        <w:pStyle w:val="Compact"/>
        <w:numPr>
          <w:ilvl w:val="0"/>
          <w:numId w:val="1002"/>
        </w:numPr>
      </w:pPr>
      <w:r>
        <w:t xml:space="preserve">APS's 2025–2028 capital plan totals</w:t>
      </w:r>
      <w:r>
        <w:t xml:space="preserve"> </w:t>
      </w:r>
      <m:oMath>
        <m:r>
          <m:t>10.35</m:t>
        </m:r>
        <m:r>
          <m:t>b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(</m:t>
        </m:r>
      </m:oMath>
      <w:r>
        <w:rPr>
          <w:b/>
          <w:bCs/>
        </w:rPr>
        <w:t xml:space="preserve">2.40B in 2025A, stepping up to</w:t>
      </w:r>
      <w:r>
        <w:rPr>
          <w:b/>
          <w:bCs/>
        </w:rPr>
        <w:t xml:space="preserve"> </w:t>
      </w:r>
      <m:oMath>
        <m:r>
          <m:t>2.60</m:t>
        </m:r>
        <m:r>
          <m:t>B</m:t>
        </m:r>
        <m:r>
          <m:rPr>
            <m:sty m:val="p"/>
          </m:rPr>
          <m:t>/</m:t>
        </m:r>
      </m:oMath>
      <w:r>
        <w:rPr>
          <w:b/>
          <w:bCs/>
        </w:rPr>
        <w:t xml:space="preserve">2.65B/</w:t>
      </w:r>
      <m:oMath>
        <m:r>
          <m:t>2.70</m:t>
        </m:r>
        <m:r>
          <m:t>B</m:t>
        </m:r>
        <m:r>
          <m:t>i</m:t>
        </m:r>
        <m:r>
          <m:t>n</m:t>
        </m:r>
        <m:r>
          <m:t>2026</m:t>
        </m:r>
        <m:r>
          <m:t>E</m:t>
        </m:r>
        <m:r>
          <m:rPr>
            <m:sty m:val="p"/>
          </m:rPr>
          <m:t>–</m:t>
        </m:r>
        <m:r>
          <m:t>2028</m:t>
        </m:r>
        <m:r>
          <m:t>E</m:t>
        </m:r>
        <m:r>
          <m:rPr>
            <m:sty m:val="p"/>
          </m:rPr>
          <m:t>)</m:t>
        </m:r>
        <m:r>
          <m:rPr>
            <m:sty m:val="p"/>
          </m:rPr>
          <m:t>,</m:t>
        </m:r>
        <m:r>
          <m:t>s</m:t>
        </m:r>
        <m:r>
          <m:t>k</m:t>
        </m:r>
        <m:r>
          <m:t>e</m:t>
        </m:r>
        <m:r>
          <m:t>w</m:t>
        </m:r>
        <m:r>
          <m:t>e</m:t>
        </m:r>
        <m:r>
          <m:t>d</m:t>
        </m:r>
        <m:r>
          <m:t>i</m:t>
        </m:r>
        <m:r>
          <m:t>n</m:t>
        </m:r>
        <m:r>
          <m:t>c</m:t>
        </m:r>
        <m:r>
          <m:t>r</m:t>
        </m:r>
        <m:r>
          <m:t>e</m:t>
        </m:r>
        <m:r>
          <m:t>a</m:t>
        </m:r>
        <m:r>
          <m:t>s</m:t>
        </m:r>
        <m:r>
          <m:t>i</m:t>
        </m:r>
        <m:r>
          <m:t>n</m:t>
        </m:r>
        <m:r>
          <m:t>g</m:t>
        </m:r>
        <m:r>
          <m:t>l</m:t>
        </m:r>
        <m:r>
          <m:t>y</m:t>
        </m:r>
        <m:r>
          <m:t>t</m:t>
        </m:r>
        <m:r>
          <m:t>o</m:t>
        </m:r>
        <m:r>
          <m:t>w</m:t>
        </m:r>
        <m:r>
          <m:t>a</m:t>
        </m:r>
        <m:r>
          <m:t>r</m:t>
        </m:r>
        <m:r>
          <m:t>d</m:t>
        </m:r>
        <m:r>
          <m:t>t</m:t>
        </m:r>
        <m:r>
          <m:t>r</m:t>
        </m:r>
        <m:r>
          <m:t>a</m:t>
        </m:r>
        <m:r>
          <m:t>n</m:t>
        </m:r>
        <m:r>
          <m:t>s</m:t>
        </m:r>
        <m:r>
          <m:t>m</m:t>
        </m:r>
        <m:r>
          <m:t>i</m:t>
        </m:r>
        <m:r>
          <m:t>s</m:t>
        </m:r>
        <m:r>
          <m:t>s</m:t>
        </m:r>
        <m:r>
          <m:t>i</m:t>
        </m:r>
        <m:r>
          <m:t>o</m:t>
        </m:r>
        <m:r>
          <m:t>n</m:t>
        </m:r>
        <m:r>
          <m:rPr>
            <m:sty m:val="p"/>
          </m:rPr>
          <m:t>(</m:t>
        </m:r>
        <m:r>
          <m:t>A</m:t>
        </m:r>
        <m:r>
          <m:t>P</m:t>
        </m:r>
        <m:sSup>
          <m:e>
            <m:r>
              <m:t>S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10</m:t>
        </m:r>
        <m:r>
          <m:rPr>
            <m:sty m:val="p"/>
          </m:rPr>
          <m:t>−</m:t>
        </m:r>
        <m:r>
          <m:t>y</m:t>
        </m:r>
        <m:r>
          <m:t>e</m:t>
        </m:r>
        <m:r>
          <m:t>a</m:t>
        </m:r>
        <m:r>
          <m:t>r</m:t>
        </m:r>
        <m:r>
          <m:t>t</m:t>
        </m:r>
        <m:r>
          <m:t>r</m:t>
        </m:r>
        <m:r>
          <m:t>a</m:t>
        </m:r>
        <m:r>
          <m:t>n</m:t>
        </m:r>
        <m:r>
          <m:t>s</m:t>
        </m:r>
        <m:r>
          <m:t>m</m:t>
        </m:r>
        <m:r>
          <m:t>i</m:t>
        </m:r>
        <m:r>
          <m:t>s</m:t>
        </m:r>
        <m:r>
          <m:t>s</m:t>
        </m:r>
        <m:r>
          <m:t>i</m:t>
        </m:r>
        <m:r>
          <m:t>o</m:t>
        </m:r>
        <m:r>
          <m:t>n</m:t>
        </m:r>
        <m:r>
          <m:t>p</m:t>
        </m:r>
        <m:r>
          <m:t>l</m:t>
        </m:r>
        <m:r>
          <m:t>a</m:t>
        </m:r>
        <m:r>
          <m:t>n</m:t>
        </m:r>
        <m:r>
          <m:t>i</m:t>
        </m:r>
        <m:r>
          <m:t>m</m:t>
        </m:r>
        <m:r>
          <m:t>p</m:t>
        </m:r>
        <m:r>
          <m:t>l</m:t>
        </m:r>
        <m:r>
          <m:t>i</m:t>
        </m:r>
        <m:r>
          <m:t>e</m:t>
        </m:r>
        <m:r>
          <m:t>s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6B+ of cumulative transmission capex through 2035</w:t>
      </w:r>
      <w:r>
        <w:t xml:space="preserve">).</w:t>
      </w:r>
    </w:p>
    <w:p>
      <w:pPr>
        <w:pStyle w:val="Compact"/>
        <w:numPr>
          <w:ilvl w:val="0"/>
          <w:numId w:val="1002"/>
        </w:numPr>
      </w:pPr>
      <w:r>
        <w:t xml:space="preserve">Rate base is guided to grow from **$12.2B (2024) to</w:t>
      </w:r>
      <w:r>
        <w:t xml:space="preserve"> </w:t>
      </w:r>
      <m:oMath>
        <m:r>
          <m:t>15.7</m:t>
        </m:r>
        <m:r>
          <m:t>B</m:t>
        </m:r>
        <m:r>
          <m:t>b</m:t>
        </m:r>
        <m:r>
          <m:t>y</m:t>
        </m:r>
        <m:r>
          <m:t>2028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(</m:t>
        </m:r>
        <m:r>
          <m:t>a</m:t>
        </m:r>
        <m:r>
          <m:t>7</m:t>
        </m:r>
      </m:oMath>
      <w:r>
        <w:t xml:space="preserve">10.36B currently) and FERC-jurisdictional ($2.47B) buckets.</w:t>
      </w:r>
    </w:p>
    <w:p>
      <w:pPr>
        <w:pStyle w:val="Compact"/>
        <w:numPr>
          <w:ilvl w:val="0"/>
          <w:numId w:val="1002"/>
        </w:numPr>
      </w:pPr>
      <w:r>
        <w:t xml:space="preserve">On equity, PNW has</w:t>
      </w:r>
      <w:r>
        <w:t xml:space="preserve"> </w:t>
      </w:r>
      <w:r>
        <w:rPr>
          <w:b/>
          <w:bCs/>
        </w:rPr>
        <w:t xml:space="preserve">de-risked 2026 funding</w:t>
      </w:r>
      <w:r>
        <w:t xml:space="preserve"> </w:t>
      </w:r>
      <w:r>
        <w:t xml:space="preserve">— as of Q1, nearly **</w:t>
      </w:r>
      <m:oMath>
        <m:r>
          <m:t>850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t>o</m:t>
        </m:r>
        <m:r>
          <m:t>f</m:t>
        </m:r>
        <m:r>
          <m:t>e</m:t>
        </m:r>
        <m:r>
          <m:t>q</m:t>
        </m:r>
        <m:r>
          <m:t>u</m:t>
        </m:r>
        <m:r>
          <m:t>i</m:t>
        </m:r>
        <m:r>
          <m:t>t</m:t>
        </m:r>
        <m:r>
          <m:t>y</m:t>
        </m:r>
        <m:r>
          <m:t>w</m:t>
        </m:r>
        <m:r>
          <m:t>a</m:t>
        </m:r>
        <m:r>
          <m:t>s</m:t>
        </m:r>
        <m:r>
          <m:t>a</m:t>
        </m:r>
        <m:r>
          <m:t>l</m:t>
        </m:r>
        <m:r>
          <m:t>r</m:t>
        </m:r>
        <m:r>
          <m:t>e</m:t>
        </m:r>
        <m:r>
          <m:t>a</m:t>
        </m:r>
        <m:r>
          <m:t>d</m:t>
        </m:r>
        <m:r>
          <m:t>y</m:t>
        </m:r>
        <m:r>
          <m:t>p</m:t>
        </m:r>
        <m:r>
          <m:t>r</m:t>
        </m:r>
        <m:r>
          <m:t>i</m:t>
        </m:r>
        <m:r>
          <m:t>c</m:t>
        </m:r>
        <m:r>
          <m:t>e</m:t>
        </m:r>
        <m:r>
          <m:t>d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u</m:t>
        </m:r>
        <m:r>
          <m:t>n</m:t>
        </m:r>
        <m:r>
          <m:t>d</m:t>
        </m:r>
        <m:r>
          <m:t>e</m:t>
        </m:r>
        <m:r>
          <m:t>r</m:t>
        </m:r>
        <m:r>
          <m:t>f</m:t>
        </m:r>
        <m:r>
          <m:t>o</m:t>
        </m:r>
        <m:r>
          <m:t>r</m:t>
        </m:r>
        <m:r>
          <m:t>w</m:t>
        </m:r>
        <m:r>
          <m:t>a</m:t>
        </m:r>
        <m:r>
          <m:t>r</m:t>
        </m:r>
        <m:r>
          <m:t>d</m:t>
        </m:r>
        <m:r>
          <m:t>a</m:t>
        </m:r>
        <m:r>
          <m:t>g</m:t>
        </m:r>
        <m:r>
          <m:t>r</m:t>
        </m:r>
        <m:r>
          <m:t>e</m:t>
        </m:r>
        <m:r>
          <m:t>e</m:t>
        </m:r>
        <m:r>
          <m:t>m</m:t>
        </m:r>
        <m:r>
          <m:t>e</m:t>
        </m:r>
        <m:r>
          <m:t>n</m:t>
        </m:r>
        <m:r>
          <m:t>t</m:t>
        </m:r>
        <m:r>
          <m:t>s</m:t>
        </m:r>
        <m:r>
          <m:rPr>
            <m:sty m:val="p"/>
          </m:rPr>
          <m:t>/</m:t>
        </m:r>
        <m:r>
          <m:t>A</m:t>
        </m:r>
        <m:r>
          <m:t>T</m:t>
        </m:r>
        <m:r>
          <m:t>M</m:t>
        </m:r>
        <m:r>
          <m:rPr>
            <m:sty m:val="p"/>
          </m:rPr>
          <m:t>,</m:t>
        </m:r>
        <m:r>
          <m:t>c</m:t>
        </m:r>
        <m:r>
          <m:t>o</m:t>
        </m:r>
        <m:r>
          <m:t>m</m:t>
        </m:r>
        <m:r>
          <m:t>f</m:t>
        </m:r>
        <m:r>
          <m:t>o</m:t>
        </m:r>
        <m:r>
          <m:t>r</m:t>
        </m:r>
        <m:r>
          <m:t>t</m:t>
        </m:r>
        <m:r>
          <m:t>a</m:t>
        </m:r>
        <m:r>
          <m:t>b</m:t>
        </m:r>
        <m:r>
          <m:t>l</m:t>
        </m:r>
        <m:r>
          <m:t>y</m:t>
        </m:r>
        <m:r>
          <m:t>c</m:t>
        </m:r>
        <m:r>
          <m:t>o</m:t>
        </m:r>
        <m:r>
          <m:t>v</m:t>
        </m:r>
        <m:r>
          <m:t>e</m:t>
        </m:r>
        <m:r>
          <m:t>r</m:t>
        </m:r>
        <m:r>
          <m:t>i</m:t>
        </m:r>
        <m:r>
          <m:t>n</m:t>
        </m:r>
        <m:r>
          <m:t>g</m:t>
        </m:r>
        <m:r>
          <m:t>t</m:t>
        </m:r>
        <m:r>
          <m:t>h</m:t>
        </m:r>
        <m:r>
          <m:t>e</m:t>
        </m:r>
        <m:r>
          <m:t> </m:t>
        </m:r>
      </m:oMath>
      <w:r>
        <w:t xml:space="preserve">650 million 2026 equity need, with excess rolling toward 2027–2028.</w:t>
      </w:r>
    </w:p>
    <w:p>
      <w:pPr>
        <w:pStyle w:val="Compact"/>
        <w:numPr>
          <w:ilvl w:val="0"/>
          <w:numId w:val="1002"/>
        </w:numPr>
      </w:pPr>
      <w:r>
        <w:t xml:space="preserve">Credit ratings remain investment-grade and stable across Moody's (Baa1 APS/Baa2 PNW), S&amp;P (BBB+/BBB+) and Fitch (BBB+/BBB) as of late April 2026, following constructive conversations with all three agencies.</w:t>
      </w:r>
    </w:p>
    <w:p>
      <w:pPr>
        <w:pStyle w:val="Compact"/>
        <w:numPr>
          <w:ilvl w:val="0"/>
          <w:numId w:val="1002"/>
        </w:numPr>
      </w:pPr>
      <w:r>
        <w:t xml:space="preserve">The dividend has grown from</w:t>
      </w:r>
      <w:r>
        <w:t xml:space="preserve"> </w:t>
      </w:r>
      <m:oMath>
        <m:r>
          <m:t>2.62</m:t>
        </m:r>
        <m:r>
          <m:rPr>
            <m:sty m:val="p"/>
          </m:rPr>
          <m:t>/</m:t>
        </m:r>
        <m:r>
          <m:t>s</m:t>
        </m:r>
        <m:r>
          <m:t>h</m:t>
        </m:r>
        <m:r>
          <m:t>a</m:t>
        </m:r>
        <m:r>
          <m:t>r</m:t>
        </m:r>
        <m:r>
          <m:t>e</m:t>
        </m:r>
        <m:r>
          <m:rPr>
            <m:sty m:val="p"/>
          </m:rPr>
          <m:t>(</m:t>
        </m:r>
        <m:r>
          <m:t>2016</m:t>
        </m:r>
        <m:r>
          <m:rPr>
            <m:sty m:val="p"/>
          </m:rPr>
          <m:t>)</m:t>
        </m:r>
        <m:r>
          <m:t>t</m:t>
        </m:r>
        <m:r>
          <m:t>o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t xml:space="preserve">3.64/share (2025)**, a ~3.7% CAGR, with a targeted long-term payout ratio of 65%–75%.</w:t>
      </w:r>
    </w:p>
    <w:bookmarkEnd w:id="16"/>
    <w:bookmarkStart w:id="17" w:name="X24f4fffe0bc065c6bece6180dec7c5c766b7382"/>
    <w:p>
      <w:pPr>
        <w:pStyle w:val="Heading2"/>
      </w:pPr>
      <w:r>
        <w:t xml:space="preserve">8. Stock Setup Into the Print</w:t>
      </w:r>
    </w:p>
    <w:p>
      <w:pPr>
        <w:pStyle w:val="FirstParagraph"/>
      </w:pPr>
      <w:r>
        <w:t xml:space="preserve">PNW shares have had a strong 2026, rising from</w:t>
      </w:r>
      <w:r>
        <w:t xml:space="preserve"> </w:t>
      </w:r>
      <w:r>
        <w:rPr>
          <w:b/>
          <w:bCs/>
        </w:rPr>
        <w:t xml:space="preserve">$88.14 on Jan 2 to a 2026 closing high near</w:t>
      </w:r>
      <w:r>
        <w:rPr>
          <w:b/>
          <w:bCs/>
        </w:rPr>
        <w:t xml:space="preserve"> </w:t>
      </w:r>
      <m:oMath>
        <m:r>
          <m:t>109.37</m:t>
        </m:r>
        <m:r>
          <m:rPr>
            <m:sty m:val="p"/>
          </m:rPr>
          <m:t>(</m:t>
        </m:r>
        <m:r>
          <m:t>J</m:t>
        </m:r>
        <m:r>
          <m:t>u</m:t>
        </m:r>
        <m:r>
          <m:t>l</m:t>
        </m:r>
        <m:r>
          <m:t>y</m:t>
        </m:r>
        <m:r>
          <m:t>2</m:t>
        </m:r>
        <m:r>
          <m:rPr>
            <m:sty m:val="p"/>
          </m:rPr>
          <m:t>)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b</m:t>
        </m:r>
        <m:r>
          <m:t>e</m:t>
        </m:r>
        <m:r>
          <m:t>f</m:t>
        </m:r>
        <m:r>
          <m:t>o</m:t>
        </m:r>
        <m:r>
          <m:t>r</m:t>
        </m:r>
        <m:r>
          <m:t>e</m:t>
        </m:r>
        <m:r>
          <m:t>p</m:t>
        </m:r>
        <m:r>
          <m:t>u</m:t>
        </m:r>
        <m:r>
          <m:t>l</m:t>
        </m:r>
        <m:r>
          <m:t>l</m:t>
        </m:r>
        <m:r>
          <m:t>i</m:t>
        </m:r>
        <m:r>
          <m:t>n</m:t>
        </m:r>
        <m:r>
          <m:t>g</m:t>
        </m:r>
        <m:r>
          <m:t>b</m:t>
        </m:r>
        <m:r>
          <m:t>a</m:t>
        </m:r>
        <m:r>
          <m:t>c</m:t>
        </m:r>
        <m:r>
          <m:t>k</m:t>
        </m:r>
        <m:r>
          <m:t>r</m:t>
        </m:r>
        <m:r>
          <m:t>o</m:t>
        </m:r>
        <m:r>
          <m:t>u</m:t>
        </m:r>
        <m:r>
          <m:t>g</m:t>
        </m:r>
        <m:r>
          <m:t>h</m:t>
        </m:r>
        <m:r>
          <m:t>l</m:t>
        </m:r>
        <m:r>
          <m:t>y</m:t>
        </m:r>
        <m:r>
          <m:t>8</m:t>
        </m:r>
      </m:oMath>
      <w:r>
        <w:rPr>
          <w:b/>
          <w:bCs/>
        </w:rPr>
        <w:t xml:space="preserve">100.84 by Aug 3</w:t>
      </w:r>
      <w:r>
        <w:t xml:space="preserve"> </w:t>
      </w:r>
      <w:r>
        <w:t xml:space="preserve">amid a broader July/early-August pullback. Options markets and sell-side commentary describe the current analyst stance as a</w:t>
      </w:r>
      <w:r>
        <w:t xml:space="preserve"> </w:t>
      </w:r>
      <w:r>
        <w:rPr>
          <w:b/>
          <w:bCs/>
        </w:rPr>
        <w:t xml:space="preserve">"Moderate Buy"</w:t>
      </w:r>
      <w:r>
        <w:t xml:space="preserve"> </w:t>
      </w:r>
      <w:r>
        <w:t xml:space="preserve">(roughly 4 Strong Buy / 14 Hold among 18 covering analysts), with mean price targets clustering in the</w:t>
      </w:r>
      <w:r>
        <w:t xml:space="preserve"> </w:t>
      </w:r>
      <m:oMath>
        <m:r>
          <m:t>97</m:t>
        </m:r>
        <m:r>
          <m:rPr>
            <m:sty m:val="p"/>
          </m:rPr>
          <m:t>–</m:t>
        </m:r>
      </m:oMath>
      <w:r>
        <w:rPr>
          <w:b/>
          <w:bCs/>
        </w:rPr>
        <w:t xml:space="preserve">105</w:t>
      </w:r>
      <w:r>
        <w:t xml:space="preserve"> </w:t>
      </w:r>
      <w:r>
        <w:t xml:space="preserve">range recently — meaning the stock has, at times over the summer, traded near or above where the Street sees fair value, leaving less room for multiple expansion absent a positive fundamental or regulatory surprise.</w:t>
      </w:r>
    </w:p>
    <w:bookmarkEnd w:id="17"/>
    <w:bookmarkStart w:id="18" w:name="Xde6fca97d2a926ef8c6b710b75796efdfd8e7ee"/>
    <w:p>
      <w:pPr>
        <w:pStyle w:val="Heading2"/>
      </w:pPr>
      <w:r>
        <w:t xml:space="preserve">9. What to Watch on Tomorrow's Call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EPS vs. the ~$1.49 consensus</w:t>
      </w:r>
      <w:r>
        <w:t xml:space="preserve">, and whether weather (record spring/early-summer heat) drove another quarter of outperformance similar to Q1.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Reaffirmation (or narrowing) of full-year 2026 guidance</w:t>
      </w:r>
      <w:r>
        <w:t xml:space="preserve"> </w:t>
      </w:r>
      <w:r>
        <w:t xml:space="preserve">of</w:t>
      </w:r>
      <w:r>
        <w:t xml:space="preserve"> </w:t>
      </w:r>
      <m:oMath>
        <m:r>
          <m:t>4.55</m:t>
        </m:r>
        <m:r>
          <m:rPr>
            <m:sty m:val="p"/>
          </m:rPr>
          <m:t>–</m:t>
        </m:r>
      </m:oMath>
      <w:r>
        <w:t xml:space="preserve">4.75/share.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Sales and customer growth trends</w:t>
      </w:r>
      <w:r>
        <w:t xml:space="preserve"> </w:t>
      </w:r>
      <w:r>
        <w:t xml:space="preserve">— is the 9%+ weather-normalized growth from Q1 sustainable, or does it normalize back toward the 4%–6% guide?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Rate case commentary</w:t>
      </w:r>
      <w:r>
        <w:t xml:space="preserve"> </w:t>
      </w:r>
      <w:r>
        <w:t xml:space="preserve">post-hearing — any read-through on ROE, FRAM adoption odds, or timing toward the expected late-November ROO and Q4 2026 final decision.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Subscription-model contract progress</w:t>
      </w:r>
      <w:r>
        <w:t xml:space="preserve"> </w:t>
      </w:r>
      <w:r>
        <w:t xml:space="preserve">— any update on filing bilateral large-load agreements with the ACC.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IRP filing</w:t>
      </w:r>
      <w:r>
        <w:t xml:space="preserve"> </w:t>
      </w:r>
      <w:r>
        <w:t xml:space="preserve">(due the same week) — updated long-term load/resource assumptions.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O&amp;M trajectory</w:t>
      </w:r>
      <w:r>
        <w:t xml:space="preserve"> </w:t>
      </w:r>
      <w:r>
        <w:t xml:space="preserve">— management's "declining O&amp;M per MWh" goal and cost discipline amid rapid customer growth.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Financing/equity update</w:t>
      </w:r>
      <w:r>
        <w:t xml:space="preserve"> </w:t>
      </w:r>
      <w:r>
        <w:t xml:space="preserve">— any incremental progress on the 2026–2028 ~$1.0–1.2B equity plan and credit metrics (FFO/Debt target of 14%–16%).</w:t>
      </w:r>
    </w:p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2026-08-04T01:21:59Z</dcterms:created>
  <dcterms:modified xsi:type="dcterms:W3CDTF">2026-08-04T01:21:59Z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