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nw-earnings-predictions--2026-08-04"/>
    <w:p>
      <w:pPr>
        <w:pStyle w:val="Heading1"/>
      </w:pPr>
      <w:r>
        <w:t xml:space="preserve">PNW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~$1.64 vs. cons $1.48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~$1.46B vs. cons $1.42B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weather-normalized retail-sales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~6.5% vs. cons 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weather-normalized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4.55</m:t>
              </m:r>
              <m:r>
                <m:rPr>
                  <m:sty m:val="p"/>
                </m:rPr>
                <m:t>−</m:t>
              </m:r>
            </m:oMath>
            <w:r>
              <w:t xml:space="preserve">4.75 vs. cons $4.73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weather-normalized retail-sales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~4.0%-6.0% vs. cons 5.0%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O&amp;M expense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1.02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1.04B vs. cons $1.03B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-0.8% (FADE)</w:t>
            </w:r>
          </w:p>
        </w:tc>
        <w:tc>
          <w:tcPr/>
          <w:p>
            <w:pPr>
              <w:pStyle w:val="Compact"/>
            </w:pPr>
            <w:r>
              <w:t xml:space="preserve">A weather- and volume-assisted EPS/revenue beat should initially help, but retaining a ~</w:t>
            </w:r>
            <m:oMath>
              <m:r>
                <m:t>4.55</m:t>
              </m:r>
              <m:r>
                <m:rPr>
                  <m:sty m:val="p"/>
                </m:rPr>
                <m:t>−</m:t>
              </m:r>
            </m:oMath>
            <w:r>
              <w:t xml:space="preserve">4.75 FY2026 EPS range versus ~$4.73 consensus leaves little out-period upside; investors will likely normalize the heat benefit and refocus on rate-case recovery, financing costs, and regulatory timing.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2026-08-04T01:17:47Z</dcterms:created>
  <dcterms:modified xsi:type="dcterms:W3CDTF">2026-08-04T01:17:47Z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