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faaf9c9d780e3009946d91fd444366814a2935"/>
    <w:p>
      <w:pPr>
        <w:pStyle w:val="Heading1"/>
      </w:pPr>
      <w:r>
        <w:t xml:space="preserve">Pinnacle West (NYSE: PNW) — 2Q26 Earnings Preview</w:t>
      </w:r>
    </w:p>
    <w:p>
      <w:pPr>
        <w:pStyle w:val="BlockText"/>
      </w:pPr>
      <w:r>
        <w:rPr>
          <w:b/>
          <w:bCs/>
        </w:rPr>
        <w:t xml:space="preserve">Timing clarification:</w:t>
      </w:r>
      <w:r>
        <w:t xml:space="preserve"> </w:t>
      </w:r>
      <w:r>
        <w:t xml:space="preserve">PNW is scheduled to report</w:t>
      </w:r>
      <w:r>
        <w:t xml:space="preserve"> </w:t>
      </w:r>
      <w:r>
        <w:rPr>
          <w:b/>
          <w:bCs/>
        </w:rPr>
        <w:t xml:space="preserve">before the U.S. market opens today, Tuesday, August 4, 2026</w:t>
      </w:r>
      <w:r>
        <w:t xml:space="preserve">, with its conference call at</w:t>
      </w:r>
      <w:r>
        <w:t xml:space="preserve"> </w:t>
      </w:r>
      <w:r>
        <w:rPr>
          <w:b/>
          <w:bCs/>
        </w:rPr>
        <w:t xml:space="preserve">12:00 p.m. ET / 9:00 a.m. Arizona time</w:t>
      </w:r>
      <w:r>
        <w:t xml:space="preserve">—not tomorrow. This preview reflects information available ahead of the release.</w:t>
      </w:r>
    </w:p>
    <w:bookmarkStart w:id="9" w:name="bottom-line"/>
    <w:p>
      <w:pPr>
        <w:pStyle w:val="Heading2"/>
      </w:pPr>
      <w:r>
        <w:t xml:space="preserve">Bottom line</w:t>
      </w:r>
    </w:p>
    <w:p>
      <w:pPr>
        <w:pStyle w:val="FirstParagraph"/>
      </w:pPr>
      <w:r>
        <w:t xml:space="preserve">PNW enters 2Q with a favorable operating setup:</w:t>
      </w:r>
      <w:r>
        <w:t xml:space="preserve"> </w:t>
      </w:r>
      <w:r>
        <w:rPr>
          <w:b/>
          <w:bCs/>
        </w:rPr>
        <w:t xml:space="preserve">exceptional Arizona heat, record peak demand, ongoing customer growth, and large-load commercial/industrial ramping</w:t>
      </w:r>
      <w:r>
        <w:t xml:space="preserve"> </w:t>
      </w:r>
      <w:r>
        <w:t xml:space="preserve">should support reported earnings and reinforce the company’s load-growth thesis. The key caveat is that PNW’s full-year earnings guide is explicitly</w:t>
      </w:r>
      <w:r>
        <w:t xml:space="preserve"> </w:t>
      </w:r>
      <w:r>
        <w:rPr>
          <w:b/>
          <w:bCs/>
        </w:rPr>
        <w:t xml:space="preserve">weather-normalized</w:t>
      </w:r>
      <w:r>
        <w:t xml:space="preserve">, so a weather-driven quarterly upside is less important than whether management can sustain its underlying sales-growth, cost-control, financing, and regulatory assumptions.</w:t>
      </w:r>
    </w:p>
    <w:p>
      <w:pPr>
        <w:pStyle w:val="BodyText"/>
      </w:pPr>
      <w:r>
        <w:t xml:space="preserve">The main investor debate remains less about the quarter than the</w:t>
      </w:r>
      <w:r>
        <w:t xml:space="preserve"> </w:t>
      </w:r>
      <w:r>
        <w:rPr>
          <w:b/>
          <w:bCs/>
        </w:rPr>
        <w:t xml:space="preserve">2025 APS rate case</w:t>
      </w:r>
      <w:r>
        <w:t xml:space="preserve">: the magnitude and quality of eventual rate relief, including the requested return structure and proposed formula-rate mechanism, will determine how much of PNW’s accelerating capital plan can earn timely returns.</w:t>
      </w:r>
    </w:p>
    <w:bookmarkEnd w:id="9"/>
    <w:bookmarkStart w:id="13" w:name="what-matters-most-this-quarter"/>
    <w:p>
      <w:pPr>
        <w:pStyle w:val="Heading2"/>
      </w:pPr>
      <w:r>
        <w:t xml:space="preserve">What matters most this quarter</w:t>
      </w:r>
    </w:p>
    <w:bookmarkStart w:id="11" w:name="Xbc900d4bdb2249a0b5b275643121988537dbfee"/>
    <w:p>
      <w:pPr>
        <w:pStyle w:val="Heading3"/>
      </w:pPr>
      <w:r>
        <w:t xml:space="preserve">1. Heat and load should make for a strong reported 2Q</w:t>
      </w:r>
    </w:p>
    <w:p>
      <w:pPr>
        <w:pStyle w:val="FirstParagraph"/>
      </w:pPr>
      <w:r>
        <w:t xml:space="preserve">APS reported a new all-time system peak of</w:t>
      </w:r>
      <w:r>
        <w:t xml:space="preserve"> </w:t>
      </w:r>
      <w:r>
        <w:rPr>
          <w:b/>
          <w:bCs/>
        </w:rPr>
        <w:t xml:space="preserve">9,053 MW on July 24</w:t>
      </w:r>
      <w:r>
        <w:t xml:space="preserve">, exceeding the prior record of 8,648 MW set in August 2025. Management said it had sufficient generation and reserves throughout the period. The record is operationally important—it validates the need for incremental generation, transmission, and distribution spending—but it is also a positive near-term indicator for volumetric demand and summer revenues. (</w:t>
      </w:r>
      <w:hyperlink r:id="rId10">
        <w:r>
          <w:rPr>
            <w:rStyle w:val="Hyperlink"/>
          </w:rPr>
          <w:t xml:space="preserve">pinnaclewest.com</w:t>
        </w:r>
      </w:hyperlink>
      <w:r>
        <w:t xml:space="preserve">)</w:t>
      </w:r>
    </w:p>
    <w:p>
      <w:pPr>
        <w:pStyle w:val="BodyText"/>
      </w:pPr>
      <w:r>
        <w:t xml:space="preserve">The comparison is favorable. In</w:t>
      </w:r>
      <w:r>
        <w:t xml:space="preserve"> </w:t>
      </w:r>
      <w:r>
        <w:rPr>
          <w:b/>
          <w:bCs/>
        </w:rPr>
        <w:t xml:space="preserve">2Q25</w:t>
      </w:r>
      <w:r>
        <w:t xml:space="preserve">, PNW earned</w:t>
      </w:r>
      <w:r>
        <w:t xml:space="preserve"> </w:t>
      </w:r>
      <w:r>
        <w:rPr>
          <w:b/>
          <w:bCs/>
        </w:rPr>
        <w:t xml:space="preserve">$1.58 per diluted share</w:t>
      </w:r>
      <w:r>
        <w:t xml:space="preserve">, down from $1.76 a year earlier, principally because cooling degree-days were 15.4% lower year over year. Customer growth and weather-normalized sales growth nevertheless remained healthy at 2.4% and 5.2%, respectively. A hotter 2Q26 should reverse that weather headwind, assuming fuel/purchased-power costs and fleet performance were managed effectively.</w:t>
      </w:r>
    </w:p>
    <w:bookmarkEnd w:id="11"/>
    <w:bookmarkStart w:id="12" w:name="X4fb2e941f42399fa089263dc23266648450dc77"/>
    <w:p>
      <w:pPr>
        <w:pStyle w:val="Heading3"/>
      </w:pPr>
      <w:r>
        <w:t xml:space="preserve">2. The underlying load-growth story is the real thesis</w:t>
      </w:r>
    </w:p>
    <w:p>
      <w:pPr>
        <w:pStyle w:val="FirstParagraph"/>
      </w:pPr>
      <w:r>
        <w:t xml:space="preserve">The 1Q26 print already demonstrated powerful organic demand: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metric</w:t>
            </w:r>
          </w:p>
        </w:tc>
        <w:tc>
          <w:tcPr/>
          <w:p>
            <w:pPr>
              <w:pStyle w:val="Compact"/>
              <w:jc w:val="right"/>
            </w:pPr>
            <w:r>
              <w:t xml:space="preserve">Result</w:t>
            </w:r>
          </w:p>
        </w:tc>
      </w:tr>
      <w:tr>
        <w:tc>
          <w:tcPr/>
          <w:p>
            <w:pPr>
              <w:pStyle w:val="Compact"/>
            </w:pPr>
            <w:r>
              <w:t xml:space="preserve">Customer growth</w:t>
            </w:r>
          </w:p>
        </w:tc>
        <w:tc>
          <w:tcPr/>
          <w:p>
            <w:pPr>
              <w:pStyle w:val="Compact"/>
              <w:jc w:val="right"/>
            </w:pPr>
            <w:r>
              <w:rPr>
                <w:b/>
                <w:bCs/>
              </w:rPr>
              <w:t xml:space="preserve">2.2%</w:t>
            </w:r>
          </w:p>
        </w:tc>
      </w:tr>
      <w:tr>
        <w:tc>
          <w:tcPr/>
          <w:p>
            <w:pPr>
              <w:pStyle w:val="Compact"/>
            </w:pPr>
            <w:r>
              <w:t xml:space="preserve">Weather-normalized retail sales growth</w:t>
            </w:r>
          </w:p>
        </w:tc>
        <w:tc>
          <w:tcPr/>
          <w:p>
            <w:pPr>
              <w:pStyle w:val="Compact"/>
              <w:jc w:val="right"/>
            </w:pPr>
            <w:r>
              <w:rPr>
                <w:b/>
                <w:bCs/>
              </w:rPr>
              <w:t xml:space="preserve">9.4%</w:t>
            </w:r>
          </w:p>
        </w:tc>
      </w:tr>
      <w:tr>
        <w:tc>
          <w:tcPr/>
          <w:p>
            <w:pPr>
              <w:pStyle w:val="Compact"/>
            </w:pPr>
            <w:r>
              <w:t xml:space="preserve">Commercial &amp; industrial sales growth</w:t>
            </w:r>
          </w:p>
        </w:tc>
        <w:tc>
          <w:tcPr/>
          <w:p>
            <w:pPr>
              <w:pStyle w:val="Compact"/>
              <w:jc w:val="right"/>
            </w:pPr>
            <w:r>
              <w:rPr>
                <w:b/>
                <w:bCs/>
              </w:rPr>
              <w:t xml:space="preserve">14.6%</w:t>
            </w:r>
          </w:p>
        </w:tc>
      </w:tr>
      <w:tr>
        <w:tc>
          <w:tcPr/>
          <w:p>
            <w:pPr>
              <w:pStyle w:val="Compact"/>
            </w:pPr>
            <w:r>
              <w:t xml:space="preserve">2026 customer-growth guidance</w:t>
            </w:r>
          </w:p>
        </w:tc>
        <w:tc>
          <w:tcPr/>
          <w:p>
            <w:pPr>
              <w:pStyle w:val="Compact"/>
              <w:jc w:val="right"/>
            </w:pPr>
            <w:r>
              <w:rPr>
                <w:b/>
                <w:bCs/>
              </w:rPr>
              <w:t xml:space="preserve">1.5%–2.5%</w:t>
            </w:r>
          </w:p>
        </w:tc>
      </w:tr>
      <w:tr>
        <w:tc>
          <w:tcPr/>
          <w:p>
            <w:pPr>
              <w:pStyle w:val="Compact"/>
            </w:pPr>
            <w:r>
              <w:t xml:space="preserve">2026 weather-normalized sales-growth guidance</w:t>
            </w:r>
          </w:p>
        </w:tc>
        <w:tc>
          <w:tcPr/>
          <w:p>
            <w:pPr>
              <w:pStyle w:val="Compact"/>
              <w:jc w:val="right"/>
            </w:pPr>
            <w:r>
              <w:rPr>
                <w:b/>
                <w:bCs/>
              </w:rPr>
              <w:t xml:space="preserve">4.0%–6.0%</w:t>
            </w:r>
          </w:p>
        </w:tc>
      </w:tr>
      <w:tr>
        <w:tc>
          <w:tcPr/>
          <w:p>
            <w:pPr>
              <w:pStyle w:val="Compact"/>
            </w:pPr>
            <w:r>
              <w:t xml:space="preserve">Expected large-load contribution to 2026 sales growth</w:t>
            </w:r>
          </w:p>
        </w:tc>
        <w:tc>
          <w:tcPr/>
          <w:p>
            <w:pPr>
              <w:pStyle w:val="Compact"/>
              <w:jc w:val="right"/>
            </w:pPr>
            <w:r>
              <w:rPr>
                <w:b/>
                <w:bCs/>
              </w:rPr>
              <w:t xml:space="preserve">3.0%–5.0%</w:t>
            </w:r>
          </w:p>
        </w:tc>
      </w:tr>
    </w:tbl>
    <w:p>
      <w:pPr>
        <w:pStyle w:val="BodyText"/>
      </w:pPr>
      <w:r>
        <w:t xml:space="preserve">The favorable mix is particularly important. PNW’s long-term opportunity rests on data centers, advanced manufacturing, and broader Arizona economic growth—not simply population-driven residential demand. Management has indicated that it is seeking contracts and rate designs that make “growth pay for growth,” reducing the risk that large loads dilute returns or shift incremental infrastructure costs onto legacy customers.</w:t>
      </w:r>
    </w:p>
    <w:p>
      <w:pPr>
        <w:pStyle w:val="BodyText"/>
      </w:pPr>
      <w:r>
        <w:t xml:space="preserve">For 2Q, investors should focus on whether management</w:t>
      </w:r>
      <w:r>
        <w:t xml:space="preserve"> </w:t>
      </w:r>
      <w:r>
        <w:rPr>
          <w:b/>
          <w:bCs/>
        </w:rPr>
        <w:t xml:space="preserve">reaffirms or increases</w:t>
      </w:r>
      <w:r>
        <w:t xml:space="preserve"> </w:t>
      </w:r>
      <w:r>
        <w:t xml:space="preserve">its 4%–6% weather-normalized sales-growth view, and whether it provides more color on the pace, credit quality, contractual structure, and interconnection timing of large-load customers.</w:t>
      </w:r>
    </w:p>
    <w:bookmarkEnd w:id="12"/>
    <w:bookmarkEnd w:id="13"/>
    <w:bookmarkStart w:id="15" w:name="Xefbf929cd0b38ff221035144df6fdde4eea47da"/>
    <w:p>
      <w:pPr>
        <w:pStyle w:val="Heading2"/>
      </w:pPr>
      <w:r>
        <w:t xml:space="preserve">Guidance: likely more important than the EPS print</w:t>
      </w:r>
    </w:p>
    <w:p>
      <w:pPr>
        <w:pStyle w:val="FirstParagraph"/>
      </w:pPr>
      <w:r>
        <w:t xml:space="preserve">PNW reaffirmed its</w:t>
      </w:r>
      <w:r>
        <w:t xml:space="preserve"> </w:t>
      </w:r>
      <w:r>
        <w:rPr>
          <w:b/>
          <w:bCs/>
        </w:rPr>
        <w:t xml:space="preserve">2026 weather-normalized EPS guidance of</w:t>
      </w:r>
      <w:r>
        <w:rPr>
          <w:b/>
          <w:bCs/>
        </w:rPr>
        <w:t xml:space="preserve"> </w:t>
      </w:r>
      <m:oMath>
        <m:r>
          <m:t>4.55</m:t>
        </m:r>
        <m:r>
          <m:rPr>
            <m:sty m:val="p"/>
          </m:rPr>
          <m:t>–</m:t>
        </m:r>
      </m:oMath>
      <w:r>
        <w:rPr>
          <w:b/>
          <w:bCs/>
        </w:rPr>
        <w:t xml:space="preserve">4.75</w:t>
      </w:r>
      <w:r>
        <w:t xml:space="preserve"> </w:t>
      </w:r>
      <w:r>
        <w:t xml:space="preserve">after 1Q. The 1Q result of $0.27 included a benefit from unusually hot late-winter and early-spring weather, while the company’s guidance assumes normal weather. (</w:t>
      </w:r>
      <w:hyperlink r:id="rId14">
        <w:r>
          <w:rPr>
            <w:rStyle w:val="Hyperlink"/>
          </w:rPr>
          <w:t xml:space="preserve">pinnaclewest.com</w:t>
        </w:r>
      </w:hyperlink>
      <w:r>
        <w:t xml:space="preserve">)</w:t>
      </w:r>
    </w:p>
    <w:p>
      <w:pPr>
        <w:pStyle w:val="BodyText"/>
      </w:pPr>
      <w:r>
        <w:t xml:space="preserve">A strong 2Q EPS result driven primarily by heat would therefore not necessarily justify a guide increase. The higher-quality outcome would be:</w:t>
      </w:r>
    </w:p>
    <w:p>
      <w:pPr>
        <w:pStyle w:val="Compact"/>
        <w:numPr>
          <w:ilvl w:val="0"/>
          <w:numId w:val="1001"/>
        </w:numPr>
      </w:pPr>
      <w:r>
        <w:rPr>
          <w:b/>
          <w:bCs/>
        </w:rPr>
        <w:t xml:space="preserve">Guide maintained or raised</w:t>
      </w:r>
      <w:r>
        <w:t xml:space="preserve"> </w:t>
      </w:r>
      <w:r>
        <w:t xml:space="preserve">despite higher interest expense and depreciation;</w:t>
      </w:r>
    </w:p>
    <w:p>
      <w:pPr>
        <w:pStyle w:val="Compact"/>
        <w:numPr>
          <w:ilvl w:val="0"/>
          <w:numId w:val="1001"/>
        </w:numPr>
      </w:pPr>
      <w:r>
        <w:t xml:space="preserve">Continued confidence in sales growth excluding weather;</w:t>
      </w:r>
    </w:p>
    <w:p>
      <w:pPr>
        <w:pStyle w:val="Compact"/>
        <w:numPr>
          <w:ilvl w:val="0"/>
          <w:numId w:val="1001"/>
        </w:numPr>
      </w:pPr>
      <w:r>
        <w:t xml:space="preserve">O&amp;M tracking within the</w:t>
      </w:r>
      <w:r>
        <w:t xml:space="preserve"> </w:t>
      </w:r>
      <m:oMath>
        <m:r>
          <m:t>1.02</m:t>
        </m:r>
        <m:r>
          <m:t>b</m:t>
        </m:r>
        <m:r>
          <m:t>i</m:t>
        </m:r>
        <m:r>
          <m:t>l</m:t>
        </m:r>
        <m:r>
          <m:t>l</m:t>
        </m:r>
        <m:r>
          <m:t>i</m:t>
        </m:r>
        <m:r>
          <m:t>o</m:t>
        </m:r>
        <m:r>
          <m:t>n</m:t>
        </m:r>
        <m:r>
          <m:rPr>
            <m:sty m:val="p"/>
          </m:rPr>
          <m:t>–</m:t>
        </m:r>
      </m:oMath>
      <w:r>
        <w:rPr>
          <w:b/>
          <w:bCs/>
        </w:rPr>
        <w:t xml:space="preserve">1.04 billion</w:t>
      </w:r>
      <w:r>
        <w:t xml:space="preserve"> </w:t>
      </w:r>
      <w:r>
        <w:t xml:space="preserve">adjusted 2026 range;</w:t>
      </w:r>
    </w:p>
    <w:p>
      <w:pPr>
        <w:pStyle w:val="Compact"/>
        <w:numPr>
          <w:ilvl w:val="0"/>
          <w:numId w:val="1001"/>
        </w:numPr>
      </w:pPr>
      <w:r>
        <w:t xml:space="preserve">No deterioration in expected financing needs or timing of equity settlements; and</w:t>
      </w:r>
    </w:p>
    <w:p>
      <w:pPr>
        <w:pStyle w:val="Compact"/>
        <w:numPr>
          <w:ilvl w:val="0"/>
          <w:numId w:val="1001"/>
        </w:numPr>
      </w:pPr>
      <w:r>
        <w:t xml:space="preserve">Confirmation that planned generation/transmission projects remain on schedule and within budget.</w:t>
      </w:r>
    </w:p>
    <w:p>
      <w:pPr>
        <w:pStyle w:val="FirstParagraph"/>
      </w:pPr>
      <w:r>
        <w:t xml:space="preserve">Conversely, a reported beat paired with unchanged guidance and a large stated weather benefit would be fundamentally less meaningful.</w:t>
      </w:r>
    </w:p>
    <w:bookmarkEnd w:id="15"/>
    <w:bookmarkStart w:id="17" w:name="Xcad1dccd5c6f62cbfe9a18d3f82852cb48dabd7"/>
    <w:p>
      <w:pPr>
        <w:pStyle w:val="Heading2"/>
      </w:pPr>
      <w:r>
        <w:t xml:space="preserve">Rate case: the principal valuation catalyst—and risk</w:t>
      </w:r>
    </w:p>
    <w:p>
      <w:pPr>
        <w:pStyle w:val="FirstParagraph"/>
      </w:pPr>
      <w:r>
        <w:t xml:space="preserve">APS’s pending 2025 rate case is central to the investment case. The company’s current proposal seeks a</w:t>
      </w:r>
      <w:r>
        <w:t xml:space="preserve"> </w:t>
      </w:r>
      <w:r>
        <w:rPr>
          <w:b/>
          <w:bCs/>
        </w:rPr>
        <w:t xml:space="preserve">$611.3 million net base-rate increase</w:t>
      </w:r>
      <w:r>
        <w:t xml:space="preserve">, or</w:t>
      </w:r>
      <w:r>
        <w:t xml:space="preserve"> </w:t>
      </w:r>
      <w:r>
        <w:rPr>
          <w:b/>
          <w:bCs/>
        </w:rPr>
        <w:t xml:space="preserve">14.75%</w:t>
      </w:r>
      <w:r>
        <w:t xml:space="preserve">, with rates requested to become effective in the second half of 2026. The requested construct includes a 10.70% ROE and a formula-rate-adjustment mechanism intended to reduce regulatory lag. (</w:t>
      </w:r>
      <w:hyperlink r:id="rId16">
        <w:r>
          <w:rPr>
            <w:rStyle w:val="Hyperlink"/>
          </w:rPr>
          <w:t xml:space="preserve">pinnaclewest.com</w:t>
        </w:r>
      </w:hyperlink>
      <w:r>
        <w:t xml:space="preserve">)</w:t>
      </w:r>
    </w:p>
    <w:p>
      <w:pPr>
        <w:pStyle w:val="BodyText"/>
      </w:pPr>
      <w:r>
        <w:t xml:space="preserve">Investors should listen for:</w:t>
      </w:r>
    </w:p>
    <w:p>
      <w:pPr>
        <w:numPr>
          <w:ilvl w:val="0"/>
          <w:numId w:val="1002"/>
        </w:numPr>
      </w:pPr>
      <w:r>
        <w:rPr>
          <w:b/>
          <w:bCs/>
        </w:rPr>
        <w:t xml:space="preserve">Any updated procedural or settlement commentary.</w:t>
      </w:r>
      <w:r>
        <w:br/>
      </w:r>
      <w:r>
        <w:t xml:space="preserve">A constructive path to a final Arizona Corporation Commission decision would improve visibility into 2027 earnings and cash flow.</w:t>
      </w:r>
    </w:p>
    <w:p>
      <w:pPr>
        <w:numPr>
          <w:ilvl w:val="0"/>
          <w:numId w:val="1002"/>
        </w:numPr>
      </w:pPr>
      <w:r>
        <w:rPr>
          <w:b/>
          <w:bCs/>
        </w:rPr>
        <w:t xml:space="preserve">Management’s confidence in the economics of the eventual outcome.</w:t>
      </w:r>
      <w:r>
        <w:br/>
      </w:r>
      <w:r>
        <w:t xml:space="preserve">The key issue is not merely the headline revenue increase; it is the allowed ROE, equity layer, treatment of post-test-year plant, and whether a formula-rate framework is adopted.</w:t>
      </w:r>
    </w:p>
    <w:p>
      <w:pPr>
        <w:numPr>
          <w:ilvl w:val="0"/>
          <w:numId w:val="1002"/>
        </w:numPr>
      </w:pPr>
      <w:r>
        <w:rPr>
          <w:b/>
          <w:bCs/>
        </w:rPr>
        <w:t xml:space="preserve">Customer-affordability messaging.</w:t>
      </w:r>
      <w:r>
        <w:br/>
      </w:r>
      <w:r>
        <w:t xml:space="preserve">The request lands against a backdrop of significant infrastructure needs and rapidly growing summer bills. Political and regulatory sensitivity around affordability remains a risk.</w:t>
      </w:r>
    </w:p>
    <w:p>
      <w:pPr>
        <w:pStyle w:val="FirstParagraph"/>
      </w:pPr>
      <w:r>
        <w:t xml:space="preserve">The current regulatory setup is a source of upside if APS secures timely recovery for its investment program. It is also the clearest downside risk if the final outcome is materially below the requested structure or delayed.</w:t>
      </w:r>
    </w:p>
    <w:bookmarkEnd w:id="17"/>
    <w:bookmarkStart w:id="18" w:name="X8bdd02d5ca85e060cfabe7589840c49111a19c4"/>
    <w:p>
      <w:pPr>
        <w:pStyle w:val="Heading2"/>
      </w:pPr>
      <w:r>
        <w:t xml:space="preserve">Capital plan and financing: growth is attractive, but capital intensive</w:t>
      </w:r>
    </w:p>
    <w:p>
      <w:pPr>
        <w:pStyle w:val="FirstParagraph"/>
      </w:pPr>
      <w:r>
        <w:t xml:space="preserve">PNW’s investment opportunity is substantial. Its 2026–2028 APS capital plan totals roughly</w:t>
      </w:r>
      <w:r>
        <w:t xml:space="preserve"> </w:t>
      </w:r>
      <m:oMath>
        <m:r>
          <m:t>8.0</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a</m:t>
        </m:r>
        <m:r>
          <m:t>n</m:t>
        </m:r>
        <m:r>
          <m:t>n</m:t>
        </m:r>
        <m:r>
          <m:t>u</m:t>
        </m:r>
        <m:r>
          <m:t>a</m:t>
        </m:r>
        <m:r>
          <m:t>l</m:t>
        </m:r>
        <m:r>
          <m:t>s</m:t>
        </m:r>
        <m:r>
          <m:t>p</m:t>
        </m:r>
        <m:r>
          <m:t>e</m:t>
        </m:r>
        <m:r>
          <m:t>n</m:t>
        </m:r>
        <m:r>
          <m:t>d</m:t>
        </m:r>
        <m:r>
          <m:t>i</m:t>
        </m:r>
        <m:r>
          <m:t>n</m:t>
        </m:r>
        <m:r>
          <m:t>g</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2.6 billion in 2026</w:t>
      </w:r>
      <w:r>
        <w:t xml:space="preserve">, $2.65 billion in 2027, and $2.7 billion in 2028. Transmission, distribution, and generation are all meaningful contributors.</w:t>
      </w:r>
    </w:p>
    <w:p>
      <w:pPr>
        <w:pStyle w:val="BodyText"/>
      </w:pPr>
      <w:r>
        <w:t xml:space="preserve">That investment supports rate-base growth and reliability, but it comes with two investor concerns:</w:t>
      </w:r>
    </w:p>
    <w:p>
      <w:pPr>
        <w:pStyle w:val="Compact"/>
        <w:numPr>
          <w:ilvl w:val="0"/>
          <w:numId w:val="1003"/>
        </w:numPr>
      </w:pPr>
      <w:r>
        <w:rPr>
          <w:b/>
          <w:bCs/>
        </w:rPr>
        <w:t xml:space="preserve">Higher financing costs:</w:t>
      </w:r>
      <w:r>
        <w:t xml:space="preserve"> </w:t>
      </w:r>
      <w:r>
        <w:t xml:space="preserve">1Q26 interest expense rose materially year over year as debt balances increased.</w:t>
      </w:r>
    </w:p>
    <w:p>
      <w:pPr>
        <w:pStyle w:val="Compact"/>
        <w:numPr>
          <w:ilvl w:val="0"/>
          <w:numId w:val="1003"/>
        </w:numPr>
      </w:pPr>
      <w:r>
        <w:rPr>
          <w:b/>
          <w:bCs/>
        </w:rPr>
        <w:t xml:space="preserve">Equity dilution:</w:t>
      </w:r>
      <w:r>
        <w:t xml:space="preserve"> </w:t>
      </w:r>
      <w:r>
        <w:t xml:space="preserve">PNW had priced its 2026 equity need via forward arrangements/ATM activity as of the first-quarter update, reducing execution risk but embedding dilution into the earnings outlook.</w:t>
      </w:r>
    </w:p>
    <w:p>
      <w:pPr>
        <w:pStyle w:val="FirstParagraph"/>
      </w:pPr>
      <w:r>
        <w:t xml:space="preserve">The call should clarify whether the stronger summer load outlook changes the financing plan, cash-from-operations outlook, or targeted balance-sheet metrics.</w:t>
      </w:r>
    </w:p>
    <w:bookmarkEnd w:id="18"/>
    <w:bookmarkStart w:id="22" w:name="X17e1adeb2bab0f22bc5fb341f3553d5e5ee2028"/>
    <w:p>
      <w:pPr>
        <w:pStyle w:val="Heading2"/>
      </w:pPr>
      <w:r>
        <w:t xml:space="preserve">Recent developments that matter for the long-term case</w:t>
      </w:r>
    </w:p>
    <w:p>
      <w:pPr>
        <w:numPr>
          <w:ilvl w:val="0"/>
          <w:numId w:val="1004"/>
        </w:numPr>
      </w:pPr>
      <w:r>
        <w:rPr>
          <w:b/>
          <w:bCs/>
        </w:rPr>
        <w:t xml:space="preserve">Cholla conversion:</w:t>
      </w:r>
      <w:r>
        <w:t xml:space="preserve"> </w:t>
      </w:r>
      <w:r>
        <w:t xml:space="preserve">APS plans to convert two retired Cholla coal units to natural gas, targeting 2029 operations and approximately</w:t>
      </w:r>
      <w:r>
        <w:t xml:space="preserve"> </w:t>
      </w:r>
      <w:r>
        <w:rPr>
          <w:b/>
          <w:bCs/>
        </w:rPr>
        <w:t xml:space="preserve">380 MW</w:t>
      </w:r>
      <w:r>
        <w:t xml:space="preserve"> </w:t>
      </w:r>
      <w:r>
        <w:t xml:space="preserve">of capacity. Reusing an existing site and infrastructure may be a relatively efficient reliability investment, but the project still requires planning and permitting. (</w:t>
      </w:r>
      <w:hyperlink r:id="rId19">
        <w:r>
          <w:rPr>
            <w:rStyle w:val="Hyperlink"/>
          </w:rPr>
          <w:t xml:space="preserve">pinnaclewest.com</w:t>
        </w:r>
      </w:hyperlink>
      <w:r>
        <w:t xml:space="preserve">)</w:t>
      </w:r>
    </w:p>
    <w:p>
      <w:pPr>
        <w:numPr>
          <w:ilvl w:val="0"/>
          <w:numId w:val="1004"/>
        </w:numPr>
      </w:pPr>
      <w:r>
        <w:rPr>
          <w:b/>
          <w:bCs/>
        </w:rPr>
        <w:t xml:space="preserve">Longer-term nuclear optionality:</w:t>
      </w:r>
      <w:r>
        <w:t xml:space="preserve"> </w:t>
      </w:r>
      <w:r>
        <w:t xml:space="preserve">APS, SRP, and TEP are conducting a preliminary nuclear siting study, although they have not selected a technology or committed to build a plant. The group was not awarded a DOE grant for this work. This is strategically relevant but should not be treated as a near- or medium-term earnings contributor. (</w:t>
      </w:r>
      <w:hyperlink r:id="rId20">
        <w:r>
          <w:rPr>
            <w:rStyle w:val="Hyperlink"/>
          </w:rPr>
          <w:t xml:space="preserve">pinnaclewest.com</w:t>
        </w:r>
      </w:hyperlink>
      <w:r>
        <w:t xml:space="preserve">)</w:t>
      </w:r>
    </w:p>
    <w:p>
      <w:pPr>
        <w:numPr>
          <w:ilvl w:val="0"/>
          <w:numId w:val="1004"/>
        </w:numPr>
      </w:pPr>
      <w:r>
        <w:rPr>
          <w:b/>
          <w:bCs/>
        </w:rPr>
        <w:t xml:space="preserve">Dividend:</w:t>
      </w:r>
      <w:r>
        <w:t xml:space="preserve"> </w:t>
      </w:r>
      <w:r>
        <w:t xml:space="preserve">PNW declared a quarterly dividend of</w:t>
      </w:r>
      <w:r>
        <w:t xml:space="preserve"> </w:t>
      </w:r>
      <w:r>
        <w:rPr>
          <w:b/>
          <w:bCs/>
        </w:rPr>
        <w:t xml:space="preserve">$0.91 per share</w:t>
      </w:r>
      <w:r>
        <w:t xml:space="preserve">, payable September 1 to shareholders of record on August 3. The unchanged dividend reinforces the company’s income profile, though future growth will remain tied to rate recovery, earnings growth, and funding requirements. (</w:t>
      </w:r>
      <w:hyperlink r:id="rId21">
        <w:r>
          <w:rPr>
            <w:rStyle w:val="Hyperlink"/>
          </w:rPr>
          <w:t xml:space="preserve">pinnaclewest.com</w:t>
        </w:r>
      </w:hyperlink>
      <w:r>
        <w:t xml:space="preserve">)</w:t>
      </w:r>
    </w:p>
    <w:bookmarkEnd w:id="22"/>
    <w:bookmarkStart w:id="23" w:name="stock-setup"/>
    <w:p>
      <w:pPr>
        <w:pStyle w:val="Heading2"/>
      </w:pPr>
      <w:r>
        <w:t xml:space="preserve">Stock setup</w:t>
      </w:r>
    </w:p>
    <w:p>
      <w:pPr>
        <w:pStyle w:val="FirstParagraph"/>
      </w:pPr>
      <w:r>
        <w:t xml:space="preserve">PNW closed at</w:t>
      </w:r>
      <w:r>
        <w:t xml:space="preserve"> </w:t>
      </w:r>
      <w:r>
        <w:rPr>
          <w:b/>
          <w:bCs/>
        </w:rPr>
        <w:t xml:space="preserve">$100.84 on August 3</w:t>
      </w:r>
      <w:r>
        <w:t xml:space="preserve">. That is roughly flat versus its May 4 close, but about</w:t>
      </w:r>
      <w:r>
        <w:t xml:space="preserve"> </w:t>
      </w:r>
      <w:r>
        <w:rPr>
          <w:b/>
          <w:bCs/>
        </w:rPr>
        <w:t xml:space="preserve">7.8% below</w:t>
      </w:r>
      <w:r>
        <w:t xml:space="preserve"> </w:t>
      </w:r>
      <w:r>
        <w:t xml:space="preserve">its July 2 high of $109.37. The setup suggests investors are not simply paying up for hotter weather; they are weighing the attractive Arizona load-growth narrative against regulatory and financing uncertainty.</w:t>
      </w:r>
    </w:p>
    <w:bookmarkEnd w:id="23"/>
    <w:bookmarkStart w:id="24" w:name="questions-for-management"/>
    <w:p>
      <w:pPr>
        <w:pStyle w:val="Heading2"/>
      </w:pPr>
      <w:r>
        <w:t xml:space="preserve">Questions for management</w:t>
      </w:r>
    </w:p>
    <w:p>
      <w:pPr>
        <w:pStyle w:val="Compact"/>
        <w:numPr>
          <w:ilvl w:val="0"/>
          <w:numId w:val="1005"/>
        </w:numPr>
      </w:pPr>
      <w:r>
        <w:t xml:space="preserve">How much of 2Q earnings strength was weather-driven versus customer growth, usage, and pricing?</w:t>
      </w:r>
    </w:p>
    <w:p>
      <w:pPr>
        <w:pStyle w:val="Compact"/>
        <w:numPr>
          <w:ilvl w:val="0"/>
          <w:numId w:val="1005"/>
        </w:numPr>
      </w:pPr>
      <w:r>
        <w:t xml:space="preserve">Does management still expect</w:t>
      </w:r>
      <w:r>
        <w:t xml:space="preserve"> </w:t>
      </w:r>
      <w:r>
        <w:rPr>
          <w:b/>
          <w:bCs/>
        </w:rPr>
        <w:t xml:space="preserve">4%–6% weather-normalized sales growth</w:t>
      </w:r>
      <w:r>
        <w:t xml:space="preserve"> </w:t>
      </w:r>
      <w:r>
        <w:t xml:space="preserve">in 2026, and what is the current contribution from large C&amp;I customers?</w:t>
      </w:r>
    </w:p>
    <w:p>
      <w:pPr>
        <w:pStyle w:val="Compact"/>
        <w:numPr>
          <w:ilvl w:val="0"/>
          <w:numId w:val="1005"/>
        </w:numPr>
      </w:pPr>
      <w:r>
        <w:t xml:space="preserve">What was the summer fleet performance—especially Palo Verde availability, purchased-power needs, and reserve margins—during the July peak?</w:t>
      </w:r>
    </w:p>
    <w:p>
      <w:pPr>
        <w:pStyle w:val="Compact"/>
        <w:numPr>
          <w:ilvl w:val="0"/>
          <w:numId w:val="1005"/>
        </w:numPr>
      </w:pPr>
      <w:r>
        <w:t xml:space="preserve">Has APS’s view of the timing, likelihood, or economics of the 2025 rate-case outcome changed?</w:t>
      </w:r>
    </w:p>
    <w:p>
      <w:pPr>
        <w:pStyle w:val="Compact"/>
        <w:numPr>
          <w:ilvl w:val="0"/>
          <w:numId w:val="1005"/>
        </w:numPr>
      </w:pPr>
      <w:r>
        <w:t xml:space="preserve">Are any changes needed to the $8 billion 2026–2028 capital plan, particularly for transmission, gas generation, and large-load interconnections?</w:t>
      </w:r>
    </w:p>
    <w:p>
      <w:pPr>
        <w:pStyle w:val="Compact"/>
        <w:numPr>
          <w:ilvl w:val="0"/>
          <w:numId w:val="1005"/>
        </w:numPr>
      </w:pPr>
      <w:r>
        <w:t xml:space="preserve">Has the 2026–2028 debt/equity funding plan changed in light of interest rates, capital spending, or the rate-case schedule?</w:t>
      </w:r>
    </w:p>
    <w:p>
      <w:pPr>
        <w:pStyle w:val="Compact"/>
        <w:numPr>
          <w:ilvl w:val="0"/>
          <w:numId w:val="1005"/>
        </w:numPr>
      </w:pPr>
      <w:r>
        <w:t xml:space="preserve">What economic, permitting, and execution assumptions underpin the Cholla conversion?</w:t>
      </w:r>
    </w:p>
    <w:bookmarkEnd w:id="24"/>
    <w:bookmarkStart w:id="25" w:name="investment-view-into-the-print"/>
    <w:p>
      <w:pPr>
        <w:pStyle w:val="Heading2"/>
      </w:pPr>
      <w:r>
        <w:t xml:space="preserve">Investment view into the print</w:t>
      </w:r>
    </w:p>
    <w:p>
      <w:pPr>
        <w:pStyle w:val="FirstParagraph"/>
      </w:pPr>
      <w:r>
        <w:rPr>
          <w:b/>
          <w:bCs/>
        </w:rPr>
        <w:t xml:space="preserve">Constructive, with regulatory discipline required.</w:t>
      </w:r>
      <w:r>
        <w:t xml:space="preserve"> </w:t>
      </w:r>
      <w:r>
        <w:t xml:space="preserve">PNW has one of the more compelling demand-growth backdrops in the regulated-utility sector: population growth, industrial expansion, data-center demand, and increasingly extreme summer load all support a long runway for capital deployment. The July peak record demonstrates that the need is immediate, not theoretical. (</w:t>
      </w:r>
      <w:hyperlink r:id="rId10">
        <w:r>
          <w:rPr>
            <w:rStyle w:val="Hyperlink"/>
          </w:rPr>
          <w:t xml:space="preserve">pinnaclewest.com</w:t>
        </w:r>
      </w:hyperlink>
      <w:r>
        <w:t xml:space="preserve">)</w:t>
      </w:r>
    </w:p>
    <w:p>
      <w:pPr>
        <w:pStyle w:val="BodyText"/>
      </w:pPr>
      <w:r>
        <w:t xml:space="preserve">Still, the quarter should be judged on more than EPS. A durable positive reaction likely requires evidence that:</w:t>
      </w:r>
    </w:p>
    <w:p>
      <w:pPr>
        <w:pStyle w:val="Compact"/>
        <w:numPr>
          <w:ilvl w:val="0"/>
          <w:numId w:val="1006"/>
        </w:numPr>
      </w:pPr>
      <w:r>
        <w:t xml:space="preserve">underlying sales growth remains above plan,</w:t>
      </w:r>
    </w:p>
    <w:p>
      <w:pPr>
        <w:pStyle w:val="Compact"/>
        <w:numPr>
          <w:ilvl w:val="0"/>
          <w:numId w:val="1006"/>
        </w:numPr>
      </w:pPr>
      <w:r>
        <w:t xml:space="preserve">cost and financing pressures are contained,</w:t>
      </w:r>
    </w:p>
    <w:p>
      <w:pPr>
        <w:pStyle w:val="Compact"/>
        <w:numPr>
          <w:ilvl w:val="0"/>
          <w:numId w:val="1006"/>
        </w:numPr>
      </w:pPr>
      <w:r>
        <w:t xml:space="preserve">capital investments earn credible, timely recovery, and</w:t>
      </w:r>
    </w:p>
    <w:p>
      <w:pPr>
        <w:pStyle w:val="Compact"/>
        <w:numPr>
          <w:ilvl w:val="0"/>
          <w:numId w:val="1006"/>
        </w:numPr>
      </w:pPr>
      <w:r>
        <w:t xml:space="preserve">the pending rate case remains on a path consistent with funding PNW’s growth strategy.</w:t>
      </w:r>
    </w:p>
    <w:p>
      <w:pPr>
        <w:pStyle w:val="FirstParagraph"/>
      </w:pPr>
      <w:r>
        <w:t xml:space="preserve">A weather-assisted beat without improved visibility on those items would be less consequential.</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www.pinnaclewest.com/investors/regulatory-information/default.aspx" TargetMode="External" /><Relationship Type="http://schemas.openxmlformats.org/officeDocument/2006/relationships/hyperlink" Id="rId10" Target="https://www.pinnaclewest.com/newsroom/company-news/news-release-details/2026/APS-Keeps-Power-Flowing-During-Record-Energy-Demand/default.aspx" TargetMode="External" /><Relationship Type="http://schemas.openxmlformats.org/officeDocument/2006/relationships/hyperlink" Id="rId20" Target="https://www.pinnaclewest.com/newsroom/company-news/news-release-details/2026/APS-SRP-and-TEP-Continue-New-Nuclear-Exploration-for-Arizona/default.aspx" TargetMode="External" /><Relationship Type="http://schemas.openxmlformats.org/officeDocument/2006/relationships/hyperlink" Id="rId19" Target="https://www.pinnaclewest.com/newsroom/company-news/news-release-details/2026/From-Legacy-to-Future-APS-Plans-to-Convert-Cholla-Power-Plant-to-Natural-Gas/default.aspx" TargetMode="External" /><Relationship Type="http://schemas.openxmlformats.org/officeDocument/2006/relationships/hyperlink" Id="rId21" Target="https://www.pinnaclewest.com/newsroom/company-news/news-release-details/2026/Pinnacle-West-Declares-Quarterly-Dividend-b3564fd57/default.aspx" TargetMode="External" /><Relationship Type="http://schemas.openxmlformats.org/officeDocument/2006/relationships/hyperlink" Id="rId14" Target="https://www.pinnaclewest.com/newsroom/company-news/news-release-details/2026/Pinnacle-West-Reports-2026-First-Quarter-Financial-Results/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6" Target="https://www.pinnaclewest.com/investors/regulatory-information/default.aspx" TargetMode="External" /><Relationship Type="http://schemas.openxmlformats.org/officeDocument/2006/relationships/hyperlink" Id="rId10" Target="https://www.pinnaclewest.com/newsroom/company-news/news-release-details/2026/APS-Keeps-Power-Flowing-During-Record-Energy-Demand/default.aspx" TargetMode="External" /><Relationship Type="http://schemas.openxmlformats.org/officeDocument/2006/relationships/hyperlink" Id="rId20" Target="https://www.pinnaclewest.com/newsroom/company-news/news-release-details/2026/APS-SRP-and-TEP-Continue-New-Nuclear-Exploration-for-Arizona/default.aspx" TargetMode="External" /><Relationship Type="http://schemas.openxmlformats.org/officeDocument/2006/relationships/hyperlink" Id="rId19" Target="https://www.pinnaclewest.com/newsroom/company-news/news-release-details/2026/From-Legacy-to-Future-APS-Plans-to-Convert-Cholla-Power-Plant-to-Natural-Gas/default.aspx" TargetMode="External" /><Relationship Type="http://schemas.openxmlformats.org/officeDocument/2006/relationships/hyperlink" Id="rId21" Target="https://www.pinnaclewest.com/newsroom/company-news/news-release-details/2026/Pinnacle-West-Declares-Quarterly-Dividend-b3564fd57/default.aspx" TargetMode="External" /><Relationship Type="http://schemas.openxmlformats.org/officeDocument/2006/relationships/hyperlink" Id="rId14" Target="https://www.pinnaclewest.com/newsroom/company-news/news-release-details/2026/Pinnacle-West-Reports-2026-First-Quarter-Financial-Results/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2026-08-04T01:17:47Z</dcterms:created>
  <dcterms:modified xsi:type="dcterms:W3CDTF">2026-08-04T01:17:47Z</dcterms:modified>
</cp:coreProperties>
</file>

<file path=docProps/custom.xml><?xml version="1.0" encoding="utf-8"?>
<Properties xmlns="http://schemas.openxmlformats.org/officeDocument/2006/custom-properties" xmlns:vt="http://schemas.openxmlformats.org/officeDocument/2006/docPropsVTypes"/>
</file>