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Pinnacle West Capital Corporation (PNW)</w:t>
      </w:r>
    </w:p>
    <w:p>
      <w:r>
        <w:rPr>
          <w:rFonts w:ascii="Calibri" w:hAnsi="Calibri"/>
          <w:b/>
          <w:color w:val="525866"/>
          <w:sz w:val="22"/>
        </w:rPr>
        <w:t xml:space="preserve">Ticker: </w:t>
      </w:r>
      <w:r>
        <w:rPr>
          <w:rFonts w:ascii="Calibri" w:hAnsi="Calibri"/>
          <w:color w:val="525866"/>
          <w:sz w:val="22"/>
        </w:rPr>
        <w:t xml:space="preserve">PNW  </w:t>
      </w:r>
      <w:r>
        <w:rPr>
          <w:rFonts w:ascii="Calibri" w:hAnsi="Calibri"/>
          <w:b/>
          <w:color w:val="525866"/>
          <w:sz w:val="22"/>
        </w:rPr>
        <w:t xml:space="preserve">  |  Upcoming Earnings: </w:t>
      </w:r>
      <w:r>
        <w:rPr>
          <w:rFonts w:ascii="Calibri" w:hAnsi="Calibri"/>
          <w:color w:val="525866"/>
          <w:sz w:val="22"/>
        </w:rPr>
        <w:t xml:space="preserve">Q2 2026 (est. ~August 6, 2026)  </w:t>
      </w:r>
      <w:r>
        <w:rPr>
          <w:rFonts w:ascii="Calibri" w:hAnsi="Calibri"/>
          <w:b/>
          <w:color w:val="525866"/>
          <w:sz w:val="22"/>
        </w:rPr>
        <w:t xml:space="preserve">  |  Last Reported: </w:t>
      </w:r>
      <w:r>
        <w:rPr>
          <w:rFonts w:ascii="Calibri" w:hAnsi="Calibri"/>
          <w:color w:val="525866"/>
          <w:sz w:val="22"/>
        </w:rPr>
        <w:t xml:space="preserve">Q1 2026 (May 4, 2026)  </w:t>
      </w:r>
      <w:r>
        <w:rPr>
          <w:rFonts w:ascii="Calibri" w:hAnsi="Calibri"/>
          <w:b/>
          <w:color w:val="525866"/>
          <w:sz w:val="22"/>
        </w:rPr>
        <w:t xml:space="preserve">  |  Prepared: </w:t>
      </w:r>
      <w:r>
        <w:rPr>
          <w:rFonts w:ascii="Calibri" w:hAnsi="Calibri"/>
          <w:color w:val="525866"/>
          <w:sz w:val="22"/>
        </w:rPr>
        <w:t>August 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given PNW's strong Q1 momentum and the structural tailwind from transmission revenue — but the single biggest swing factor is the </w:t>
      </w:r>
      <w:r>
        <w:rPr>
          <w:rFonts w:ascii="Calibri" w:hAnsi="Calibri"/>
          <w:b/>
          <w:color w:val="525866"/>
          <w:sz w:val="22"/>
        </w:rPr>
        <w:t>rate case outcome</w:t>
      </w:r>
      <w:r>
        <w:rPr>
          <w:rFonts w:ascii="Calibri" w:hAnsi="Calibri"/>
          <w:color w:val="525866"/>
          <w:sz w:val="22"/>
        </w:rPr>
        <w:t xml:space="preserve"> (hearing began May 18), which will determine how quickly the company can close its regulatory lag and convert its record capital deployment into earnings.</w:t>
      </w:r>
    </w:p>
    <w:p>
      <w:r>
        <w:rPr>
          <w:rFonts w:ascii="Calibri" w:hAnsi="Calibri"/>
          <w:color w:val="525866"/>
          <w:sz w:val="22"/>
        </w:rPr>
        <w:t xml:space="preserve">Heading into Q2 2026, the bar for PNW looks achievable: consensus Operating EPS of ~$1.36 implies modest year-over-year growth off a $1.58 Q2 2025 actual, a quarter that benefited from strong weather. </w:t>
      </w:r>
      <w:r>
        <w:rPr>
          <w:rFonts w:ascii="Calibri" w:hAnsi="Calibri"/>
          <w:b/>
          <w:color w:val="525866"/>
          <w:sz w:val="22"/>
        </w:rPr>
        <w:t>Management reaffirmed full-year 2026 EPS guidance of $4.55–$4.75</w:t>
      </w:r>
      <w:r>
        <w:rPr>
          <w:rFonts w:ascii="Calibri" w:hAnsi="Calibri"/>
          <w:color w:val="525866"/>
          <w:sz w:val="22"/>
        </w:rPr>
        <w:t xml:space="preserve"> on the Q1 call and has not revised it since, signaling confidence in the trajectory even as Q2 is seasonally the second-largest quarter. The estimate revision trend has been stable-to-slightly-positive since the Q1 print, with the post-earnings baseline largely intact, suggesting the Street is not aggressively front-running a beat. </w:t>
      </w:r>
      <w:r>
        <w:rPr>
          <w:rFonts w:ascii="Calibri" w:hAnsi="Calibri"/>
          <w:b/>
          <w:color w:val="525866"/>
          <w:sz w:val="22"/>
        </w:rPr>
        <w:t>The stock has rallied ~5% since the May 4 earnings date</w:t>
      </w:r>
      <w:r>
        <w:rPr>
          <w:rFonts w:ascii="Calibri" w:hAnsi="Calibri"/>
          <w:color w:val="525866"/>
          <w:sz w:val="22"/>
        </w:rPr>
        <w:t xml:space="preserve"> (vs. XLU down ~4% and SPY up ~5%), reflecting improving sentiment around the large-load growth story and transmission CapEx ramp, though the stock has given back some gains in late July. The key wildcard is the </w:t>
      </w:r>
      <w:r>
        <w:rPr>
          <w:rFonts w:ascii="Calibri" w:hAnsi="Calibri"/>
          <w:b/>
          <w:color w:val="525866"/>
          <w:sz w:val="22"/>
        </w:rPr>
        <w:t>Arizona rate case</w:t>
      </w:r>
      <w:r>
        <w:rPr>
          <w:rFonts w:ascii="Calibri" w:hAnsi="Calibri"/>
          <w:color w:val="525866"/>
          <w:sz w:val="22"/>
        </w:rPr>
        <w:t>: any signal from the hearing — which began May 18 and is expected to conclude with a commission decision before December 1 — on the Formula Rate Adjustment Mechanism (FRAM) or the $611M net revenue increase request could move the stock materially in either direction, independent of the Q2 print itself. Weather-normalized sales growth (Q1 ran at 9.4%, well above the 4–6% annual guide) and the pace of large-load customer ramp remain the key operating read-throughs.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the $1.36 Operating EPS estimate is below Q2 2025's $1.58 actual, reflecting weather normalization, but </w:t>
      </w:r>
      <w:r>
        <w:rPr>
          <w:rFonts w:ascii="Calibri" w:hAnsi="Calibri"/>
          <w:b/>
          <w:color w:val="525866"/>
          <w:sz w:val="22"/>
        </w:rPr>
        <w:t>weather-normalized sales growth and transmission revenue</w:t>
      </w:r>
      <w:r>
        <w:rPr>
          <w:rFonts w:ascii="Calibri" w:hAnsi="Calibri"/>
          <w:color w:val="525866"/>
          <w:sz w:val="22"/>
        </w:rPr>
        <w:t xml:space="preserve"> are the bigger swing factors given Q1's 9.4% weather-normalized growth and the step-function increase in transmission CapEx recovery.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$0.27</w:t>
            </w:r>
          </w:p>
        </w:tc>
        <w:tc>
          <w:tcPr>
            <w:tcW w:type="dxa" w:w="1234"/>
          </w:tcPr>
          <w:p>
            <w:r>
              <w:rPr>
                <w:rFonts w:ascii="Calibri" w:hAnsi="Calibri"/>
                <w:sz w:val="22"/>
              </w:rPr>
              <w:t>$1.58</w:t>
            </w:r>
          </w:p>
        </w:tc>
        <w:tc>
          <w:tcPr>
            <w:tcW w:type="dxa" w:w="1234"/>
          </w:tcPr>
          <w:p>
            <w:r>
              <w:rPr>
                <w:rFonts w:ascii="Calibri" w:hAnsi="Calibri"/>
                <w:sz w:val="22"/>
              </w:rPr>
              <w:t>$1.36</w:t>
            </w:r>
          </w:p>
        </w:tc>
        <w:tc>
          <w:tcPr>
            <w:tcW w:type="dxa" w:w="1234"/>
          </w:tcPr>
          <w:p>
            <w:r>
              <w:rPr>
                <w:rFonts w:ascii="Calibri" w:hAnsi="Calibri"/>
                <w:sz w:val="22"/>
              </w:rPr>
              <w:t>-14.0%</w:t>
            </w:r>
          </w:p>
        </w:tc>
        <w:tc>
          <w:tcPr>
            <w:tcW w:type="dxa" w:w="1234"/>
          </w:tcPr>
          <w:p>
            <w:r>
              <w:rPr>
                <w:rFonts w:ascii="Calibri" w:hAnsi="Calibri"/>
                <w:sz w:val="22"/>
              </w:rPr>
              <w:t>FY 2026: $4.55–$4.75 (mgmt. reaffirmed Q1 call)</w:t>
            </w:r>
          </w:p>
        </w:tc>
        <w:tc>
          <w:tcPr>
            <w:tcW w:type="dxa" w:w="1234"/>
          </w:tcPr>
          <w:p>
            <w:r>
              <w:rPr>
                <w:rFonts w:ascii="Calibri" w:hAnsi="Calibri"/>
                <w:sz w:val="22"/>
              </w:rPr>
              <w:t>FY cons. $4.77 vs. mid $4.65; +2.5% above mid</w:t>
            </w:r>
          </w:p>
        </w:tc>
      </w:tr>
      <w:tr>
        <w:tc>
          <w:tcPr>
            <w:tcW w:type="dxa" w:w="1234"/>
          </w:tcPr>
          <w:p>
            <w:r>
              <w:rPr>
                <w:rFonts w:ascii="Calibri" w:hAnsi="Calibri"/>
                <w:sz w:val="22"/>
              </w:rPr>
              <w:t>Operating Revenues ($M)</w:t>
            </w:r>
          </w:p>
        </w:tc>
        <w:tc>
          <w:tcPr>
            <w:tcW w:type="dxa" w:w="1234"/>
          </w:tcPr>
          <w:p>
            <w:r>
              <w:rPr>
                <w:rFonts w:ascii="Calibri" w:hAnsi="Calibri"/>
                <w:sz w:val="22"/>
              </w:rPr>
              <w:t>$1,149.6M</w:t>
            </w:r>
          </w:p>
        </w:tc>
        <w:tc>
          <w:tcPr>
            <w:tcW w:type="dxa" w:w="1234"/>
          </w:tcPr>
          <w:p>
            <w:r>
              <w:rPr>
                <w:rFonts w:ascii="Calibri" w:hAnsi="Calibri"/>
                <w:sz w:val="22"/>
              </w:rPr>
              <w:t>$1,358.8M</w:t>
            </w:r>
          </w:p>
        </w:tc>
        <w:tc>
          <w:tcPr>
            <w:tcW w:type="dxa" w:w="1234"/>
          </w:tcPr>
          <w:p>
            <w:r>
              <w:rPr>
                <w:rFonts w:ascii="Calibri" w:hAnsi="Calibri"/>
                <w:sz w:val="22"/>
              </w:rPr>
              <w:t>$1,397.6M</w:t>
            </w:r>
          </w:p>
        </w:tc>
        <w:tc>
          <w:tcPr>
            <w:tcW w:type="dxa" w:w="1234"/>
          </w:tcPr>
          <w:p>
            <w:r>
              <w:rPr>
                <w:rFonts w:ascii="Calibri" w:hAnsi="Calibri"/>
                <w:sz w:val="22"/>
              </w:rPr>
              <w:t>+2.9%</w:t>
            </w:r>
          </w:p>
        </w:tc>
        <w:tc>
          <w:tcPr>
            <w:tcW w:type="dxa" w:w="1234"/>
          </w:tcPr>
          <w:p>
            <w:r>
              <w:rPr>
                <w:rFonts w:ascii="Calibri" w:hAnsi="Calibri"/>
                <w:sz w:val="22"/>
              </w:rPr>
              <w:t>FY 2026: ~$5.47B (cons.)</w:t>
            </w:r>
          </w:p>
        </w:tc>
        <w:tc>
          <w:tcPr>
            <w:tcW w:type="dxa" w:w="1234"/>
          </w:tcPr>
          <w:p>
            <w:r>
              <w:rPr>
                <w:rFonts w:ascii="Calibri" w:hAnsi="Calibri"/>
                <w:sz w:val="22"/>
              </w:rPr>
              <w:t>N/A — no specific quarterly revenue guidance</w:t>
            </w:r>
          </w:p>
        </w:tc>
      </w:tr>
      <w:tr>
        <w:tc>
          <w:tcPr>
            <w:tcW w:type="dxa" w:w="1234"/>
          </w:tcPr>
          <w:p>
            <w:r>
              <w:rPr>
                <w:rFonts w:ascii="Calibri" w:hAnsi="Calibri"/>
                <w:sz w:val="22"/>
              </w:rPr>
              <w:t>Total Retail Sales — APS (GWh)</w:t>
            </w:r>
          </w:p>
        </w:tc>
        <w:tc>
          <w:tcPr>
            <w:tcW w:type="dxa" w:w="1234"/>
          </w:tcPr>
          <w:p>
            <w:r>
              <w:rPr>
                <w:rFonts w:ascii="Calibri" w:hAnsi="Calibri"/>
                <w:sz w:val="22"/>
              </w:rPr>
              <w:t>7,553 GWh</w:t>
            </w:r>
          </w:p>
        </w:tc>
        <w:tc>
          <w:tcPr>
            <w:tcW w:type="dxa" w:w="1234"/>
          </w:tcPr>
          <w:p>
            <w:r>
              <w:rPr>
                <w:rFonts w:ascii="Calibri" w:hAnsi="Calibri"/>
                <w:sz w:val="22"/>
              </w:rPr>
              <w:t>8,527 GWh</w:t>
            </w:r>
          </w:p>
        </w:tc>
        <w:tc>
          <w:tcPr>
            <w:tcW w:type="dxa" w:w="1234"/>
          </w:tcPr>
          <w:p>
            <w:r>
              <w:rPr>
                <w:rFonts w:ascii="Calibri" w:hAnsi="Calibri"/>
                <w:sz w:val="22"/>
              </w:rPr>
              <w:t>8,676 GWh</w:t>
            </w:r>
          </w:p>
        </w:tc>
        <w:tc>
          <w:tcPr>
            <w:tcW w:type="dxa" w:w="1234"/>
          </w:tcPr>
          <w:p>
            <w:r>
              <w:rPr>
                <w:rFonts w:ascii="Calibri" w:hAnsi="Calibri"/>
                <w:sz w:val="22"/>
              </w:rPr>
              <w:t>+1.7%</w:t>
            </w:r>
          </w:p>
        </w:tc>
        <w:tc>
          <w:tcPr>
            <w:tcW w:type="dxa" w:w="1234"/>
          </w:tcPr>
          <w:p>
            <w:r>
              <w:rPr>
                <w:rFonts w:ascii="Calibri" w:hAnsi="Calibri"/>
                <w:sz w:val="22"/>
              </w:rPr>
              <w:t>FY 2026 sales growth: 4–6% weather-normalized</w:t>
            </w:r>
          </w:p>
        </w:tc>
        <w:tc>
          <w:tcPr>
            <w:tcW w:type="dxa" w:w="1234"/>
          </w:tcPr>
          <w:p>
            <w:r>
              <w:rPr>
                <w:rFonts w:ascii="Calibri" w:hAnsi="Calibri"/>
                <w:sz w:val="22"/>
              </w:rPr>
              <w:t>FY cons. 35,425 GWh; tracking within guide</w:t>
            </w:r>
          </w:p>
        </w:tc>
      </w:tr>
      <w:tr>
        <w:tc>
          <w:tcPr>
            <w:tcW w:type="dxa" w:w="1234"/>
          </w:tcPr>
          <w:p>
            <w:r>
              <w:rPr>
                <w:rFonts w:ascii="Calibri" w:hAnsi="Calibri"/>
                <w:sz w:val="22"/>
              </w:rPr>
              <w:t>Operations &amp; Maintenance ($M)</w:t>
            </w:r>
          </w:p>
        </w:tc>
        <w:tc>
          <w:tcPr>
            <w:tcW w:type="dxa" w:w="1234"/>
          </w:tcPr>
          <w:p>
            <w:r>
              <w:rPr>
                <w:rFonts w:ascii="Calibri" w:hAnsi="Calibri"/>
                <w:sz w:val="22"/>
              </w:rPr>
              <w:t>$276.7M</w:t>
            </w:r>
          </w:p>
        </w:tc>
        <w:tc>
          <w:tcPr>
            <w:tcW w:type="dxa" w:w="1234"/>
          </w:tcPr>
          <w:p>
            <w:r>
              <w:rPr>
                <w:rFonts w:ascii="Calibri" w:hAnsi="Calibri"/>
                <w:sz w:val="22"/>
              </w:rPr>
              <w:t>$286.6M</w:t>
            </w:r>
          </w:p>
        </w:tc>
        <w:tc>
          <w:tcPr>
            <w:tcW w:type="dxa" w:w="1234"/>
          </w:tcPr>
          <w:p>
            <w:r>
              <w:rPr>
                <w:rFonts w:ascii="Calibri" w:hAnsi="Calibri"/>
                <w:sz w:val="22"/>
              </w:rPr>
              <w:t>$287.1M</w:t>
            </w:r>
          </w:p>
        </w:tc>
        <w:tc>
          <w:tcPr>
            <w:tcW w:type="dxa" w:w="1234"/>
          </w:tcPr>
          <w:p>
            <w:r>
              <w:rPr>
                <w:rFonts w:ascii="Calibri" w:hAnsi="Calibri"/>
                <w:sz w:val="22"/>
              </w:rPr>
              <w:t>+0.2%</w:t>
            </w:r>
          </w:p>
        </w:tc>
        <w:tc>
          <w:tcPr>
            <w:tcW w:type="dxa" w:w="1234"/>
          </w:tcPr>
          <w:p>
            <w:r>
              <w:rPr>
                <w:rFonts w:ascii="Calibri" w:hAnsi="Calibri"/>
                <w:sz w:val="22"/>
              </w:rPr>
              <w:t>Core O&amp;M FY 2026: $970–$980M</w:t>
            </w:r>
          </w:p>
        </w:tc>
        <w:tc>
          <w:tcPr>
            <w:tcW w:type="dxa" w:w="1234"/>
          </w:tcPr>
          <w:p>
            <w:r>
              <w:rPr>
                <w:rFonts w:ascii="Calibri" w:hAnsi="Calibri"/>
                <w:sz w:val="22"/>
              </w:rPr>
              <w:t>FY cons. $1,173M (incl. outages/RES); within guide</w:t>
            </w:r>
          </w:p>
        </w:tc>
      </w:tr>
      <w:tr>
        <w:tc>
          <w:tcPr>
            <w:tcW w:type="dxa" w:w="1234"/>
          </w:tcPr>
          <w:p>
            <w:r>
              <w:rPr>
                <w:rFonts w:ascii="Calibri" w:hAnsi="Calibri"/>
                <w:sz w:val="22"/>
              </w:rPr>
              <w:t>Total CapEx ($M)</w:t>
            </w:r>
          </w:p>
        </w:tc>
        <w:tc>
          <w:tcPr>
            <w:tcW w:type="dxa" w:w="1234"/>
          </w:tcPr>
          <w:p>
            <w:r>
              <w:rPr>
                <w:rFonts w:ascii="Calibri" w:hAnsi="Calibri"/>
                <w:sz w:val="22"/>
              </w:rPr>
              <w:t>$635.6M</w:t>
            </w:r>
          </w:p>
        </w:tc>
        <w:tc>
          <w:tcPr>
            <w:tcW w:type="dxa" w:w="1234"/>
          </w:tcPr>
          <w:p>
            <w:r>
              <w:rPr>
                <w:rFonts w:ascii="Calibri" w:hAnsi="Calibri"/>
                <w:sz w:val="22"/>
              </w:rPr>
              <w:t>$673.0M</w:t>
            </w:r>
          </w:p>
        </w:tc>
        <w:tc>
          <w:tcPr>
            <w:tcW w:type="dxa" w:w="1234"/>
          </w:tcPr>
          <w:p>
            <w:r>
              <w:rPr>
                <w:rFonts w:ascii="Calibri" w:hAnsi="Calibri"/>
                <w:sz w:val="22"/>
              </w:rPr>
              <w:t>$654.8M</w:t>
            </w:r>
          </w:p>
        </w:tc>
        <w:tc>
          <w:tcPr>
            <w:tcW w:type="dxa" w:w="1234"/>
          </w:tcPr>
          <w:p>
            <w:r>
              <w:rPr>
                <w:rFonts w:ascii="Calibri" w:hAnsi="Calibri"/>
                <w:sz w:val="22"/>
              </w:rPr>
              <w:t>-2.7%</w:t>
            </w:r>
          </w:p>
        </w:tc>
        <w:tc>
          <w:tcPr>
            <w:tcW w:type="dxa" w:w="1234"/>
          </w:tcPr>
          <w:p>
            <w:r>
              <w:rPr>
                <w:rFonts w:ascii="Calibri" w:hAnsi="Calibri"/>
                <w:sz w:val="22"/>
              </w:rPr>
              <w:t>FY 2026: $2.60B</w:t>
            </w:r>
          </w:p>
        </w:tc>
        <w:tc>
          <w:tcPr>
            <w:tcW w:type="dxa" w:w="1234"/>
          </w:tcPr>
          <w:p>
            <w:r>
              <w:rPr>
                <w:rFonts w:ascii="Calibri" w:hAnsi="Calibri"/>
                <w:sz w:val="22"/>
              </w:rPr>
              <w:t>FY cons. $2.60B; exactly on guidance</w:t>
            </w:r>
          </w:p>
        </w:tc>
      </w:tr>
    </w:tbl>
    <w:p>
      <w:r>
        <w:rPr>
          <w:rFonts w:ascii="Calibri" w:hAnsi="Calibri"/>
          <w:i/>
          <w:color w:val="525866"/>
          <w:sz w:val="22"/>
        </w:rPr>
        <w:t>Source: Visible Alpha Consensus and Actuals Data. Q2 2026 consensus as of August 3, 2026. Operating EPS = EPS – Diluted – Operating. YoY change for Operating EPS and Revenue compares Q2 2026 consensus vs. Q2 2025 actual.</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$0.27</w:t>
            </w:r>
          </w:p>
        </w:tc>
        <w:tc>
          <w:tcPr>
            <w:tcW w:type="dxa" w:w="1728"/>
          </w:tcPr>
          <w:p>
            <w:r>
              <w:rPr>
                <w:rFonts w:ascii="Calibri" w:hAnsi="Calibri"/>
                <w:sz w:val="22"/>
              </w:rPr>
              <w:t>$0.10</w:t>
            </w:r>
          </w:p>
        </w:tc>
        <w:tc>
          <w:tcPr>
            <w:tcW w:type="dxa" w:w="1728"/>
          </w:tcPr>
          <w:p>
            <w:r>
              <w:rPr>
                <w:rFonts w:ascii="Calibri" w:hAnsi="Calibri"/>
                <w:b/>
                <w:color w:val="30A46C"/>
                <w:sz w:val="22"/>
              </w:rPr>
              <w:t>+181%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$0.13</w:t>
            </w:r>
          </w:p>
        </w:tc>
        <w:tc>
          <w:tcPr>
            <w:tcW w:type="dxa" w:w="1728"/>
          </w:tcPr>
          <w:p>
            <w:r>
              <w:rPr>
                <w:rFonts w:ascii="Calibri" w:hAnsi="Calibri"/>
                <w:sz w:val="22"/>
              </w:rPr>
              <w:t>$0.04</w:t>
            </w:r>
          </w:p>
        </w:tc>
        <w:tc>
          <w:tcPr>
            <w:tcW w:type="dxa" w:w="1728"/>
          </w:tcPr>
          <w:p>
            <w:r>
              <w:rPr>
                <w:rFonts w:ascii="Calibri" w:hAnsi="Calibri"/>
                <w:b/>
                <w:color w:val="30A46C"/>
                <w:sz w:val="22"/>
              </w:rPr>
              <w:t>+225%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$3.39</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$1.58</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-$0.04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-$0.06</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$3.37</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$1.76</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Operating Revenues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$1,149.6M</w:t>
            </w:r>
          </w:p>
        </w:tc>
        <w:tc>
          <w:tcPr>
            <w:tcW w:type="dxa" w:w="1728"/>
          </w:tcPr>
          <w:p>
            <w:r>
              <w:rPr>
                <w:rFonts w:ascii="Calibri" w:hAnsi="Calibri"/>
                <w:sz w:val="22"/>
              </w:rPr>
              <w:t>$1,099.9M</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$1,128.2M</w:t>
            </w:r>
          </w:p>
        </w:tc>
        <w:tc>
          <w:tcPr>
            <w:tcW w:type="dxa" w:w="1728"/>
          </w:tcPr>
          <w:p>
            <w:r>
              <w:rPr>
                <w:rFonts w:ascii="Calibri" w:hAnsi="Calibri"/>
                <w:sz w:val="22"/>
              </w:rPr>
              <w:t>$1,103.7M</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$1,820.7M</w:t>
            </w:r>
          </w:p>
        </w:tc>
        <w:tc>
          <w:tcPr>
            <w:tcW w:type="dxa" w:w="1728"/>
          </w:tcPr>
          <w:p>
            <w:r>
              <w:rPr>
                <w:rFonts w:ascii="Calibri" w:hAnsi="Calibri"/>
                <w:sz w:val="22"/>
              </w:rPr>
              <w:t>$1,769.9M</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$1,358.8M</w:t>
            </w:r>
          </w:p>
        </w:tc>
        <w:tc>
          <w:tcPr>
            <w:tcW w:type="dxa" w:w="1728"/>
          </w:tcPr>
          <w:p>
            <w:r>
              <w:rPr>
                <w:rFonts w:ascii="Calibri" w:hAnsi="Calibri"/>
                <w:sz w:val="22"/>
              </w:rPr>
              <w:t>$1,327.0M</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$1,032.3M</w:t>
            </w:r>
          </w:p>
        </w:tc>
        <w:tc>
          <w:tcPr>
            <w:tcW w:type="dxa" w:w="1728"/>
          </w:tcPr>
          <w:p>
            <w:r>
              <w:rPr>
                <w:rFonts w:ascii="Calibri" w:hAnsi="Calibri"/>
                <w:sz w:val="22"/>
              </w:rPr>
              <w:t>$993.2M</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$1,095.4M</w:t>
            </w:r>
          </w:p>
        </w:tc>
        <w:tc>
          <w:tcPr>
            <w:tcW w:type="dxa" w:w="1728"/>
          </w:tcPr>
          <w:p>
            <w:r>
              <w:rPr>
                <w:rFonts w:ascii="Calibri" w:hAnsi="Calibri"/>
                <w:sz w:val="22"/>
              </w:rPr>
              <w:t>$952.2M</w:t>
            </w:r>
          </w:p>
        </w:tc>
        <w:tc>
          <w:tcPr>
            <w:tcW w:type="dxa" w:w="1728"/>
          </w:tcPr>
          <w:p>
            <w:r>
              <w:rPr>
                <w:rFonts w:ascii="Calibri" w:hAnsi="Calibri"/>
                <w:b/>
                <w:color w:val="30A46C"/>
                <w:sz w:val="22"/>
              </w:rPr>
              <w:t>+15.0%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$1,768.8M</w:t>
            </w:r>
          </w:p>
        </w:tc>
        <w:tc>
          <w:tcPr>
            <w:tcW w:type="dxa" w:w="1728"/>
          </w:tcPr>
          <w:p>
            <w:r>
              <w:rPr>
                <w:rFonts w:ascii="Calibri" w:hAnsi="Calibri"/>
                <w:sz w:val="22"/>
              </w:rPr>
              <w:t>$1,681.1M</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$1,309.0M</w:t>
            </w:r>
          </w:p>
        </w:tc>
        <w:tc>
          <w:tcPr>
            <w:tcW w:type="dxa" w:w="1728"/>
          </w:tcPr>
          <w:p>
            <w:r>
              <w:rPr>
                <w:rFonts w:ascii="Calibri" w:hAnsi="Calibri"/>
                <w:sz w:val="22"/>
              </w:rPr>
              <w:t>$1,202.8M</w:t>
            </w:r>
          </w:p>
        </w:tc>
        <w:tc>
          <w:tcPr>
            <w:tcW w:type="dxa" w:w="1728"/>
          </w:tcPr>
          <w:p>
            <w:r>
              <w:rPr>
                <w:rFonts w:ascii="Calibri" w:hAnsi="Calibri"/>
                <w:b/>
                <w:color w:val="30A46C"/>
                <w:sz w:val="22"/>
              </w:rPr>
              <w:t>+8.8%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PNW has beaten revenue consensus in all 8 of the last 8 quarters, with a consistent positive surprise averaging ~5–6%, reflecting the structural underestimation of transmission revenue and large-load ramp. Operating EPS consensus history is limited in VA for older quarters, but the two most recent quarters show dramatic beats driven by transmission step-ups and O&amp;M discipline.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has not revised any financial guidance since the Q1 2026 earnings call on May 4 — all 2026 guidance metrics remain at their original levels — but the </w:t>
      </w:r>
      <w:r>
        <w:rPr>
          <w:rFonts w:ascii="Calibri" w:hAnsi="Calibri"/>
          <w:b/>
          <w:color w:val="525866"/>
          <w:sz w:val="22"/>
        </w:rPr>
        <w:t>investor deck filed May 6</w:t>
      </w:r>
      <w:r>
        <w:rPr>
          <w:rFonts w:ascii="Calibri" w:hAnsi="Calibri"/>
          <w:color w:val="525866"/>
          <w:sz w:val="22"/>
        </w:rPr>
        <w:t xml:space="preserve"> reinforced confidence in the large-load pipeline and transmission CapEx ramp, and the rate case hearing (began May 18) is the next major catalyst for tone shift.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$4.55–$4.75</w:t>
            </w:r>
          </w:p>
        </w:tc>
        <w:tc>
          <w:tcPr>
            <w:tcW w:type="dxa" w:w="1728"/>
          </w:tcPr>
          <w:p>
            <w:r>
              <w:rPr>
                <w:rFonts w:ascii="Calibri" w:hAnsi="Calibri"/>
                <w:sz w:val="22"/>
              </w:rPr>
              <w:t>—</w:t>
            </w:r>
          </w:p>
        </w:tc>
        <w:tc>
          <w:tcPr>
            <w:tcW w:type="dxa" w:w="1728"/>
          </w:tcPr>
          <w:p>
            <w:r>
              <w:rPr>
                <w:rFonts w:ascii="Calibri" w:hAnsi="Calibri"/>
                <w:sz w:val="22"/>
              </w:rPr>
              <w:t>$4.77</w:t>
            </w:r>
          </w:p>
        </w:tc>
        <w:tc>
          <w:tcPr>
            <w:tcW w:type="dxa" w:w="1728"/>
          </w:tcPr>
          <w:p>
            <w:r>
              <w:rPr>
                <w:rFonts w:ascii="Calibri" w:hAnsi="Calibri"/>
                <w:sz w:val="22"/>
              </w:rPr>
              <w:t>Reaffirmed on Q1 call; consensus sits ~2.5% above midpoint, modest cushion</w:t>
            </w:r>
          </w:p>
        </w:tc>
      </w:tr>
      <w:tr>
        <w:tc>
          <w:tcPr>
            <w:tcW w:type="dxa" w:w="1728"/>
          </w:tcPr>
          <w:p>
            <w:r>
              <w:rPr>
                <w:rFonts w:ascii="Calibri" w:hAnsi="Calibri"/>
                <w:sz w:val="22"/>
              </w:rPr>
              <w:t>FY 2026 Sales Growth (weather-normalized)</w:t>
            </w:r>
          </w:p>
        </w:tc>
        <w:tc>
          <w:tcPr>
            <w:tcW w:type="dxa" w:w="1728"/>
          </w:tcPr>
          <w:p>
            <w:r>
              <w:rPr>
                <w:rFonts w:ascii="Calibri" w:hAnsi="Calibri"/>
                <w:sz w:val="22"/>
              </w:rPr>
              <w:t>4–6%</w:t>
            </w:r>
          </w:p>
        </w:tc>
        <w:tc>
          <w:tcPr>
            <w:tcW w:type="dxa" w:w="1728"/>
          </w:tcPr>
          <w:p>
            <w:r>
              <w:rPr>
                <w:rFonts w:ascii="Calibri" w:hAnsi="Calibri"/>
                <w:sz w:val="22"/>
              </w:rPr>
              <w:t>—</w:t>
            </w:r>
          </w:p>
        </w:tc>
        <w:tc>
          <w:tcPr>
            <w:tcW w:type="dxa" w:w="1728"/>
          </w:tcPr>
          <w:p>
            <w:r>
              <w:rPr>
                <w:rFonts w:ascii="Calibri" w:hAnsi="Calibri"/>
                <w:sz w:val="22"/>
              </w:rPr>
              <w:t>Tracking above (Q1 ran 9.4%; adj. 7.4%)</w:t>
            </w:r>
          </w:p>
        </w:tc>
        <w:tc>
          <w:tcPr>
            <w:tcW w:type="dxa" w:w="1728"/>
          </w:tcPr>
          <w:p>
            <w:r>
              <w:rPr>
                <w:rFonts w:ascii="Calibri" w:hAnsi="Calibri"/>
                <w:sz w:val="22"/>
              </w:rPr>
              <w:t>Mgmt. held guide despite strong Q1; upside optionality if C&amp;I ramp continues</w:t>
            </w:r>
          </w:p>
        </w:tc>
      </w:tr>
      <w:tr>
        <w:tc>
          <w:tcPr>
            <w:tcW w:type="dxa" w:w="1728"/>
          </w:tcPr>
          <w:p>
            <w:r>
              <w:rPr>
                <w:rFonts w:ascii="Calibri" w:hAnsi="Calibri"/>
                <w:sz w:val="22"/>
              </w:rPr>
              <w:t>Long-Term Sales Growth (through 2030)</w:t>
            </w:r>
          </w:p>
        </w:tc>
        <w:tc>
          <w:tcPr>
            <w:tcW w:type="dxa" w:w="1728"/>
          </w:tcPr>
          <w:p>
            <w:r>
              <w:rPr>
                <w:rFonts w:ascii="Calibri" w:hAnsi="Calibri"/>
                <w:sz w:val="22"/>
              </w:rPr>
              <w:t>5–7%</w:t>
            </w:r>
          </w:p>
        </w:tc>
        <w:tc>
          <w:tcPr>
            <w:tcW w:type="dxa" w:w="1728"/>
          </w:tcPr>
          <w:p>
            <w:r>
              <w:rPr>
                <w:rFonts w:ascii="Calibri" w:hAnsi="Calibri"/>
                <w:sz w:val="22"/>
              </w:rPr>
              <w:t>—</w:t>
            </w:r>
          </w:p>
        </w:tc>
        <w:tc>
          <w:tcPr>
            <w:tcW w:type="dxa" w:w="1728"/>
          </w:tcPr>
          <w:p>
            <w:r>
              <w:rPr>
                <w:rFonts w:ascii="Calibri" w:hAnsi="Calibri"/>
                <w:sz w:val="22"/>
              </w:rPr>
              <w:t>Unchanged</w:t>
            </w:r>
          </w:p>
        </w:tc>
        <w:tc>
          <w:tcPr>
            <w:tcW w:type="dxa" w:w="1728"/>
          </w:tcPr>
          <w:p>
            <w:r>
              <w:rPr>
                <w:rFonts w:ascii="Calibri" w:hAnsi="Calibri"/>
                <w:sz w:val="22"/>
              </w:rPr>
              <w:t>Driven by 4.5 GW committed pipeline; IRP filing expected Aug. 3, 2026 will be next major update</w:t>
            </w:r>
          </w:p>
        </w:tc>
      </w:tr>
      <w:tr>
        <w:tc>
          <w:tcPr>
            <w:tcW w:type="dxa" w:w="1728"/>
          </w:tcPr>
          <w:p>
            <w:r>
              <w:rPr>
                <w:rFonts w:ascii="Calibri" w:hAnsi="Calibri"/>
                <w:sz w:val="22"/>
              </w:rPr>
              <w:t>FY 2026 Total CapEx</w:t>
            </w:r>
          </w:p>
        </w:tc>
        <w:tc>
          <w:tcPr>
            <w:tcW w:type="dxa" w:w="1728"/>
          </w:tcPr>
          <w:p>
            <w:r>
              <w:rPr>
                <w:rFonts w:ascii="Calibri" w:hAnsi="Calibri"/>
                <w:sz w:val="22"/>
              </w:rPr>
              <w:t>$2.60B</w:t>
            </w:r>
          </w:p>
        </w:tc>
        <w:tc>
          <w:tcPr>
            <w:tcW w:type="dxa" w:w="1728"/>
          </w:tcPr>
          <w:p>
            <w:r>
              <w:rPr>
                <w:rFonts w:ascii="Calibri" w:hAnsi="Calibri"/>
                <w:sz w:val="22"/>
              </w:rPr>
              <w:t>—</w:t>
            </w:r>
          </w:p>
        </w:tc>
        <w:tc>
          <w:tcPr>
            <w:tcW w:type="dxa" w:w="1728"/>
          </w:tcPr>
          <w:p>
            <w:r>
              <w:rPr>
                <w:rFonts w:ascii="Calibri" w:hAnsi="Calibri"/>
                <w:sz w:val="22"/>
              </w:rPr>
              <w:t>$2.60B</w:t>
            </w:r>
          </w:p>
        </w:tc>
        <w:tc>
          <w:tcPr>
            <w:tcW w:type="dxa" w:w="1728"/>
          </w:tcPr>
          <w:p>
            <w:r>
              <w:rPr>
                <w:rFonts w:ascii="Calibri" w:hAnsi="Calibri"/>
                <w:sz w:val="22"/>
              </w:rPr>
              <w:t>Consensus exactly on guidance; transmission CapEx ramp is key driver</w:t>
            </w:r>
          </w:p>
        </w:tc>
      </w:tr>
      <w:tr>
        <w:tc>
          <w:tcPr>
            <w:tcW w:type="dxa" w:w="1728"/>
          </w:tcPr>
          <w:p>
            <w:r>
              <w:rPr>
                <w:rFonts w:ascii="Calibri" w:hAnsi="Calibri"/>
                <w:sz w:val="22"/>
              </w:rPr>
              <w:t>Core O&amp;M (FY 2026)</w:t>
            </w:r>
          </w:p>
        </w:tc>
        <w:tc>
          <w:tcPr>
            <w:tcW w:type="dxa" w:w="1728"/>
          </w:tcPr>
          <w:p>
            <w:r>
              <w:rPr>
                <w:rFonts w:ascii="Calibri" w:hAnsi="Calibri"/>
                <w:sz w:val="22"/>
              </w:rPr>
              <w:t>$970–$980M</w:t>
            </w:r>
          </w:p>
        </w:tc>
        <w:tc>
          <w:tcPr>
            <w:tcW w:type="dxa" w:w="1728"/>
          </w:tcPr>
          <w:p>
            <w:r>
              <w:rPr>
                <w:rFonts w:ascii="Calibri" w:hAnsi="Calibri"/>
                <w:sz w:val="22"/>
              </w:rPr>
              <w:t>—</w:t>
            </w:r>
          </w:p>
        </w:tc>
        <w:tc>
          <w:tcPr>
            <w:tcW w:type="dxa" w:w="1728"/>
          </w:tcPr>
          <w:p>
            <w:r>
              <w:rPr>
                <w:rFonts w:ascii="Calibri" w:hAnsi="Calibri"/>
                <w:sz w:val="22"/>
              </w:rPr>
              <w:t>~$1,173M total (incl. outages/RES)</w:t>
            </w:r>
          </w:p>
        </w:tc>
        <w:tc>
          <w:tcPr>
            <w:tcW w:type="dxa" w:w="1728"/>
          </w:tcPr>
          <w:p>
            <w:r>
              <w:rPr>
                <w:rFonts w:ascii="Calibri" w:hAnsi="Calibri"/>
                <w:sz w:val="22"/>
              </w:rPr>
              <w:t>Goal of declining O&amp;M per MWh maintained; Q1 showed significant YoY decrease</w:t>
            </w:r>
          </w:p>
        </w:tc>
      </w:tr>
      <w:tr>
        <w:tc>
          <w:tcPr>
            <w:tcW w:type="dxa" w:w="1728"/>
          </w:tcPr>
          <w:p>
            <w:r>
              <w:rPr>
                <w:rFonts w:ascii="Calibri" w:hAnsi="Calibri"/>
                <w:sz w:val="22"/>
              </w:rPr>
              <w:t>Rate Base Growth (CAGR through 2028)</w:t>
            </w:r>
          </w:p>
        </w:tc>
        <w:tc>
          <w:tcPr>
            <w:tcW w:type="dxa" w:w="1728"/>
          </w:tcPr>
          <w:p>
            <w:r>
              <w:rPr>
                <w:rFonts w:ascii="Calibri" w:hAnsi="Calibri"/>
                <w:sz w:val="22"/>
              </w:rPr>
              <w:t>7–9%</w:t>
            </w:r>
          </w:p>
        </w:tc>
        <w:tc>
          <w:tcPr>
            <w:tcW w:type="dxa" w:w="1728"/>
          </w:tcPr>
          <w:p>
            <w:r>
              <w:rPr>
                <w:rFonts w:ascii="Calibri" w:hAnsi="Calibri"/>
                <w:sz w:val="22"/>
              </w:rPr>
              <w:t>—</w:t>
            </w:r>
          </w:p>
        </w:tc>
        <w:tc>
          <w:tcPr>
            <w:tcW w:type="dxa" w:w="1728"/>
          </w:tcPr>
          <w:p>
            <w:r>
              <w:rPr>
                <w:rFonts w:ascii="Calibri" w:hAnsi="Calibri"/>
                <w:sz w:val="22"/>
              </w:rPr>
              <w:t>Tracking; $12.2B (2024) to $15.7B (2028E)</w:t>
            </w:r>
          </w:p>
        </w:tc>
        <w:tc>
          <w:tcPr>
            <w:tcW w:type="dxa" w:w="1728"/>
          </w:tcPr>
          <w:p>
            <w:r>
              <w:rPr>
                <w:rFonts w:ascii="Calibri" w:hAnsi="Calibri"/>
                <w:sz w:val="22"/>
              </w:rPr>
              <w:t>Rate case outcome will determine pace of recovery; FRAM approval is key</w:t>
            </w:r>
          </w:p>
        </w:tc>
      </w:tr>
      <w:tr>
        <w:tc>
          <w:tcPr>
            <w:tcW w:type="dxa" w:w="1728"/>
          </w:tcPr>
          <w:p>
            <w:r>
              <w:rPr>
                <w:rFonts w:ascii="Calibri" w:hAnsi="Calibri"/>
                <w:sz w:val="22"/>
              </w:rPr>
              <w:t>Long-Term EPS Growth</w:t>
            </w:r>
          </w:p>
        </w:tc>
        <w:tc>
          <w:tcPr>
            <w:tcW w:type="dxa" w:w="1728"/>
          </w:tcPr>
          <w:p>
            <w:r>
              <w:rPr>
                <w:rFonts w:ascii="Calibri" w:hAnsi="Calibri"/>
                <w:sz w:val="22"/>
              </w:rPr>
              <w:t>5–7% off 2024 midpoint</w:t>
            </w:r>
          </w:p>
        </w:tc>
        <w:tc>
          <w:tcPr>
            <w:tcW w:type="dxa" w:w="1728"/>
          </w:tcPr>
          <w:p>
            <w:r>
              <w:rPr>
                <w:rFonts w:ascii="Calibri" w:hAnsi="Calibri"/>
                <w:sz w:val="22"/>
              </w:rPr>
              <w:t>—</w:t>
            </w:r>
          </w:p>
        </w:tc>
        <w:tc>
          <w:tcPr>
            <w:tcW w:type="dxa" w:w="1728"/>
          </w:tcPr>
          <w:p>
            <w:r>
              <w:rPr>
                <w:rFonts w:ascii="Calibri" w:hAnsi="Calibri"/>
                <w:sz w:val="22"/>
              </w:rPr>
              <w:t>FY 2027 cons. $5.49</w:t>
            </w:r>
          </w:p>
        </w:tc>
        <w:tc>
          <w:tcPr>
            <w:tcW w:type="dxa" w:w="1728"/>
          </w:tcPr>
          <w:p>
            <w:r>
              <w:rPr>
                <w:rFonts w:ascii="Calibri" w:hAnsi="Calibri"/>
                <w:sz w:val="22"/>
              </w:rPr>
              <w:t>FY27 cons. implies ~15% growth off FY26 mid; above stated 5–7% LT guide</w:t>
            </w:r>
          </w:p>
        </w:tc>
      </w:tr>
      <w:tr>
        <w:tc>
          <w:tcPr>
            <w:tcW w:type="dxa" w:w="1728"/>
          </w:tcPr>
          <w:p>
            <w:r>
              <w:rPr>
                <w:rFonts w:ascii="Calibri" w:hAnsi="Calibri"/>
                <w:sz w:val="22"/>
              </w:rPr>
              <w:t>Equity Funding (2026)</w:t>
            </w:r>
          </w:p>
        </w:tc>
        <w:tc>
          <w:tcPr>
            <w:tcW w:type="dxa" w:w="1728"/>
          </w:tcPr>
          <w:p>
            <w:r>
              <w:rPr>
                <w:rFonts w:ascii="Calibri" w:hAnsi="Calibri"/>
                <w:sz w:val="22"/>
              </w:rPr>
              <w:t>$650M stated need; completed</w:t>
            </w:r>
          </w:p>
        </w:tc>
        <w:tc>
          <w:tcPr>
            <w:tcW w:type="dxa" w:w="1728"/>
          </w:tcPr>
          <w:p>
            <w:r>
              <w:rPr>
                <w:rFonts w:ascii="Calibri" w:hAnsi="Calibri"/>
                <w:sz w:val="22"/>
              </w:rPr>
              <w:t>—</w:t>
            </w:r>
          </w:p>
        </w:tc>
        <w:tc>
          <w:tcPr>
            <w:tcW w:type="dxa" w:w="1728"/>
          </w:tcPr>
          <w:p>
            <w:r>
              <w:rPr>
                <w:rFonts w:ascii="Calibri" w:hAnsi="Calibri"/>
                <w:sz w:val="22"/>
              </w:rPr>
              <w:t>~$850M priced under equity forwards</w:t>
            </w:r>
          </w:p>
        </w:tc>
        <w:tc>
          <w:tcPr>
            <w:tcW w:type="dxa" w:w="1728"/>
          </w:tcPr>
          <w:p>
            <w:r>
              <w:rPr>
                <w:rFonts w:ascii="Calibri" w:hAnsi="Calibri"/>
                <w:sz w:val="22"/>
              </w:rPr>
              <w:t>All 2026 equity needs completed ahead of schedule; opportunistically building future capacity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2026 print — the post-earnings baseline is largely intact — with </w:t>
      </w:r>
      <w:r>
        <w:rPr>
          <w:rFonts w:ascii="Calibri" w:hAnsi="Calibri"/>
          <w:b/>
          <w:color w:val="525866"/>
          <w:sz w:val="22"/>
        </w:rPr>
        <w:t>FY 2026 consensus sitting ~2.5% above the guidance midpoint</w:t>
      </w:r>
      <w:r>
        <w:rPr>
          <w:rFonts w:ascii="Calibri" w:hAnsi="Calibri"/>
          <w:color w:val="525866"/>
          <w:sz w:val="22"/>
        </w:rPr>
        <w:t>, suggesting the Street is already pricing in modest outperformance. The gap is a cushion, not a risk, as long as weather-normalized sales and transmission revenue continue to track above the conservative annual guide.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5/9/26)</w:t>
            </w:r>
          </w:p>
        </w:tc>
        <w:tc>
          <w:tcPr>
            <w:tcW w:type="dxa" w:w="1080"/>
            <w:shd w:val="clear" w:color="auto" w:fill="3B4259"/>
          </w:tcPr>
          <w:p>
            <w:r>
              <w:rPr>
                <w:rFonts w:ascii="Calibri" w:hAnsi="Calibri"/>
                <w:b/>
                <w:color w:val="FFFFFF"/>
                <w:sz w:val="22"/>
              </w:rPr>
              <w:t>Current Consensus (8/3/26)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N/A (no as-of data in VA for Q2 2026 at 5/9/26)</w:t>
            </w:r>
          </w:p>
        </w:tc>
        <w:tc>
          <w:tcPr>
            <w:tcW w:type="dxa" w:w="1080"/>
          </w:tcPr>
          <w:p>
            <w:r>
              <w:rPr>
                <w:rFonts w:ascii="Calibri" w:hAnsi="Calibri"/>
                <w:sz w:val="22"/>
              </w:rPr>
              <w:t>$1.36</w:t>
            </w:r>
          </w:p>
        </w:tc>
        <w:tc>
          <w:tcPr>
            <w:tcW w:type="dxa" w:w="1080"/>
          </w:tcPr>
          <w:p>
            <w:r>
              <w:rPr>
                <w:rFonts w:ascii="Calibri" w:hAnsi="Calibri"/>
                <w:sz w:val="22"/>
              </w:rPr>
              <w:t>N/A</w:t>
            </w:r>
          </w:p>
        </w:tc>
        <w:tc>
          <w:tcPr>
            <w:tcW w:type="dxa" w:w="1080"/>
          </w:tcPr>
          <w:p>
            <w:r>
              <w:rPr>
                <w:rFonts w:ascii="Calibri" w:hAnsi="Calibri"/>
                <w:sz w:val="22"/>
              </w:rPr>
              <w:t>No quarterly EPS guide</w:t>
            </w:r>
          </w:p>
        </w:tc>
        <w:tc>
          <w:tcPr>
            <w:tcW w:type="dxa" w:w="1080"/>
          </w:tcPr>
          <w:p>
            <w:r>
              <w:rPr>
                <w:rFonts w:ascii="Calibri" w:hAnsi="Calibri"/>
                <w:sz w:val="22"/>
              </w:rPr>
              <w:t>No quarterly EPS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N/A (no as-of data in VA at 5/9/26)</w:t>
            </w:r>
          </w:p>
        </w:tc>
        <w:tc>
          <w:tcPr>
            <w:tcW w:type="dxa" w:w="1080"/>
          </w:tcPr>
          <w:p>
            <w:r>
              <w:rPr>
                <w:rFonts w:ascii="Calibri" w:hAnsi="Calibri"/>
                <w:sz w:val="22"/>
              </w:rPr>
              <w:t>$4.77</w:t>
            </w:r>
          </w:p>
        </w:tc>
        <w:tc>
          <w:tcPr>
            <w:tcW w:type="dxa" w:w="1080"/>
          </w:tcPr>
          <w:p>
            <w:r>
              <w:rPr>
                <w:rFonts w:ascii="Calibri" w:hAnsi="Calibri"/>
                <w:sz w:val="22"/>
              </w:rPr>
              <w:t>N/A</w:t>
            </w:r>
          </w:p>
        </w:tc>
        <w:tc>
          <w:tcPr>
            <w:tcW w:type="dxa" w:w="1080"/>
          </w:tcPr>
          <w:p>
            <w:r>
              <w:rPr>
                <w:rFonts w:ascii="Calibri" w:hAnsi="Calibri"/>
                <w:sz w:val="22"/>
              </w:rPr>
              <w:t>$4.55–$4.75 (mid: $4.65)</w:t>
            </w:r>
          </w:p>
        </w:tc>
        <w:tc>
          <w:tcPr>
            <w:tcW w:type="dxa" w:w="1080"/>
          </w:tcPr>
          <w:p>
            <w:r>
              <w:rPr>
                <w:rFonts w:ascii="Calibri" w:hAnsi="Calibri"/>
                <w:sz w:val="22"/>
              </w:rPr>
              <w:t>$4.55–$4.75 (unchanged)</w:t>
            </w:r>
          </w:p>
        </w:tc>
        <w:tc>
          <w:tcPr>
            <w:tcW w:type="dxa" w:w="1080"/>
          </w:tcPr>
          <w:p>
            <w:r>
              <w:rPr>
                <w:rFonts w:ascii="Calibri" w:hAnsi="Calibri"/>
                <w:sz w:val="22"/>
              </w:rPr>
              <w:t>0%</w:t>
            </w:r>
          </w:p>
        </w:tc>
        <w:tc>
          <w:tcPr>
            <w:tcW w:type="dxa" w:w="1080"/>
          </w:tcPr>
          <w:p>
            <w:r>
              <w:rPr>
                <w:rFonts w:ascii="Calibri" w:hAnsi="Calibri"/>
                <w:sz w:val="22"/>
              </w:rPr>
              <w:t>+2.5% above mid</w:t>
            </w:r>
          </w:p>
        </w:tc>
      </w:tr>
      <w:tr>
        <w:tc>
          <w:tcPr>
            <w:tcW w:type="dxa" w:w="1080"/>
          </w:tcPr>
          <w:p>
            <w:r>
              <w:rPr>
                <w:rFonts w:ascii="Calibri" w:hAnsi="Calibri"/>
                <w:sz w:val="22"/>
              </w:rPr>
              <w:t>Operating EPS — FY 2027</w:t>
            </w:r>
          </w:p>
        </w:tc>
        <w:tc>
          <w:tcPr>
            <w:tcW w:type="dxa" w:w="1080"/>
          </w:tcPr>
          <w:p>
            <w:r>
              <w:rPr>
                <w:rFonts w:ascii="Calibri" w:hAnsi="Calibri"/>
                <w:sz w:val="22"/>
              </w:rPr>
              <w:t>N/A (no as-of data in VA at 5/9/26)</w:t>
            </w:r>
          </w:p>
        </w:tc>
        <w:tc>
          <w:tcPr>
            <w:tcW w:type="dxa" w:w="1080"/>
          </w:tcPr>
          <w:p>
            <w:r>
              <w:rPr>
                <w:rFonts w:ascii="Calibri" w:hAnsi="Calibri"/>
                <w:sz w:val="22"/>
              </w:rPr>
              <w:t>$5.49</w:t>
            </w:r>
          </w:p>
        </w:tc>
        <w:tc>
          <w:tcPr>
            <w:tcW w:type="dxa" w:w="1080"/>
          </w:tcPr>
          <w:p>
            <w:r>
              <w:rPr>
                <w:rFonts w:ascii="Calibri" w:hAnsi="Calibri"/>
                <w:sz w:val="22"/>
              </w:rPr>
              <w:t>N/A</w:t>
            </w:r>
          </w:p>
        </w:tc>
        <w:tc>
          <w:tcPr>
            <w:tcW w:type="dxa" w:w="1080"/>
          </w:tcPr>
          <w:p>
            <w:r>
              <w:rPr>
                <w:rFonts w:ascii="Calibri" w:hAnsi="Calibri"/>
                <w:sz w:val="22"/>
              </w:rPr>
              <w:t>LT EPS growth 5–7% off 2024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~15% above FY26 mid; above 5–7% LT guide</w:t>
            </w:r>
          </w:p>
        </w:tc>
      </w:tr>
      <w:tr>
        <w:tc>
          <w:tcPr>
            <w:tcW w:type="dxa" w:w="1080"/>
          </w:tcPr>
          <w:p>
            <w:r>
              <w:rPr>
                <w:rFonts w:ascii="Calibri" w:hAnsi="Calibri"/>
                <w:sz w:val="22"/>
              </w:rPr>
              <w:t>Operating Revenues — Q2 2026</w:t>
            </w:r>
          </w:p>
        </w:tc>
        <w:tc>
          <w:tcPr>
            <w:tcW w:type="dxa" w:w="1080"/>
          </w:tcPr>
          <w:p>
            <w:r>
              <w:rPr>
                <w:rFonts w:ascii="Calibri" w:hAnsi="Calibri"/>
                <w:sz w:val="22"/>
              </w:rPr>
              <w:t>$1,412.99M (as of 5/9/26)</w:t>
            </w:r>
          </w:p>
        </w:tc>
        <w:tc>
          <w:tcPr>
            <w:tcW w:type="dxa" w:w="1080"/>
          </w:tcPr>
          <w:p>
            <w:r>
              <w:rPr>
                <w:rFonts w:ascii="Calibri" w:hAnsi="Calibri"/>
                <w:sz w:val="22"/>
              </w:rPr>
              <w:t>$1,397.6M</w:t>
            </w:r>
          </w:p>
        </w:tc>
        <w:tc>
          <w:tcPr>
            <w:tcW w:type="dxa" w:w="1080"/>
          </w:tcPr>
          <w:p>
            <w:r>
              <w:rPr>
                <w:rFonts w:ascii="Calibri" w:hAnsi="Calibri"/>
                <w:sz w:val="22"/>
              </w:rPr>
              <w:t>-1.1%</w:t>
            </w:r>
          </w:p>
        </w:tc>
        <w:tc>
          <w:tcPr>
            <w:tcW w:type="dxa" w:w="1080"/>
          </w:tcPr>
          <w:p>
            <w:r>
              <w:rPr>
                <w:rFonts w:ascii="Calibri" w:hAnsi="Calibri"/>
                <w:sz w:val="22"/>
              </w:rPr>
              <w:t>No quarterly revenue guide</w:t>
            </w:r>
          </w:p>
        </w:tc>
        <w:tc>
          <w:tcPr>
            <w:tcW w:type="dxa" w:w="1080"/>
          </w:tcPr>
          <w:p>
            <w:r>
              <w:rPr>
                <w:rFonts w:ascii="Calibri" w:hAnsi="Calibri"/>
                <w:sz w:val="22"/>
              </w:rPr>
              <w:t>No quarterly revenue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Revenues — FY 2026</w:t>
            </w:r>
          </w:p>
        </w:tc>
        <w:tc>
          <w:tcPr>
            <w:tcW w:type="dxa" w:w="1080"/>
          </w:tcPr>
          <w:p>
            <w:r>
              <w:rPr>
                <w:rFonts w:ascii="Calibri" w:hAnsi="Calibri"/>
                <w:sz w:val="22"/>
              </w:rPr>
              <w:t>$5,415.6M (as of 5/9/26)</w:t>
            </w:r>
          </w:p>
        </w:tc>
        <w:tc>
          <w:tcPr>
            <w:tcW w:type="dxa" w:w="1080"/>
          </w:tcPr>
          <w:p>
            <w:r>
              <w:rPr>
                <w:rFonts w:ascii="Calibri" w:hAnsi="Calibri"/>
                <w:sz w:val="22"/>
              </w:rPr>
              <w:t>$5,469.6M</w:t>
            </w:r>
          </w:p>
        </w:tc>
        <w:tc>
          <w:tcPr>
            <w:tcW w:type="dxa" w:w="1080"/>
          </w:tcPr>
          <w:p>
            <w:r>
              <w:rPr>
                <w:rFonts w:ascii="Calibri" w:hAnsi="Calibri"/>
                <w:sz w:val="22"/>
              </w:rPr>
              <w:t>+1.0%</w:t>
            </w:r>
          </w:p>
        </w:tc>
        <w:tc>
          <w:tcPr>
            <w:tcW w:type="dxa" w:w="1080"/>
          </w:tcPr>
          <w:p>
            <w:r>
              <w:rPr>
                <w:rFonts w:ascii="Calibri" w:hAnsi="Calibri"/>
                <w:sz w:val="22"/>
              </w:rPr>
              <w:t>No specific FY revenue guide</w:t>
            </w:r>
          </w:p>
        </w:tc>
        <w:tc>
          <w:tcPr>
            <w:tcW w:type="dxa" w:w="1080"/>
          </w:tcPr>
          <w:p>
            <w:r>
              <w:rPr>
                <w:rFonts w:ascii="Calibri" w:hAnsi="Calibri"/>
                <w:sz w:val="22"/>
              </w:rPr>
              <w:t>No specific FY revenue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Retail Sales — Q2 2026 (GWh)</w:t>
            </w:r>
          </w:p>
        </w:tc>
        <w:tc>
          <w:tcPr>
            <w:tcW w:type="dxa" w:w="1080"/>
          </w:tcPr>
          <w:p>
            <w:r>
              <w:rPr>
                <w:rFonts w:ascii="Calibri" w:hAnsi="Calibri"/>
                <w:sz w:val="22"/>
              </w:rPr>
              <w:t>8,793.7 GWh (as of 5/9/26)</w:t>
            </w:r>
          </w:p>
        </w:tc>
        <w:tc>
          <w:tcPr>
            <w:tcW w:type="dxa" w:w="1080"/>
          </w:tcPr>
          <w:p>
            <w:r>
              <w:rPr>
                <w:rFonts w:ascii="Calibri" w:hAnsi="Calibri"/>
                <w:sz w:val="22"/>
              </w:rPr>
              <w:t>8,675.7 GWh</w:t>
            </w:r>
          </w:p>
        </w:tc>
        <w:tc>
          <w:tcPr>
            <w:tcW w:type="dxa" w:w="1080"/>
          </w:tcPr>
          <w:p>
            <w:r>
              <w:rPr>
                <w:rFonts w:ascii="Calibri" w:hAnsi="Calibri"/>
                <w:sz w:val="22"/>
              </w:rPr>
              <w:t>-1.3%</w:t>
            </w:r>
          </w:p>
        </w:tc>
        <w:tc>
          <w:tcPr>
            <w:tcW w:type="dxa" w:w="1080"/>
          </w:tcPr>
          <w:p>
            <w:r>
              <w:rPr>
                <w:rFonts w:ascii="Calibri" w:hAnsi="Calibri"/>
                <w:sz w:val="22"/>
              </w:rPr>
              <w:t>FY 2026: 4–6% weather-normalized growth</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FY cons. 35,425 GWh; tracking within guide</w:t>
            </w:r>
          </w:p>
        </w:tc>
      </w:tr>
      <w:tr>
        <w:tc>
          <w:tcPr>
            <w:tcW w:type="dxa" w:w="1080"/>
          </w:tcPr>
          <w:p>
            <w:r>
              <w:rPr>
                <w:rFonts w:ascii="Calibri" w:hAnsi="Calibri"/>
                <w:sz w:val="22"/>
              </w:rPr>
              <w:t>Total CapEx — FY 2026</w:t>
            </w:r>
          </w:p>
        </w:tc>
        <w:tc>
          <w:tcPr>
            <w:tcW w:type="dxa" w:w="1080"/>
          </w:tcPr>
          <w:p>
            <w:r>
              <w:rPr>
                <w:rFonts w:ascii="Calibri" w:hAnsi="Calibri"/>
                <w:sz w:val="22"/>
              </w:rPr>
              <w:t>$2,600M (as of 5/9/26)</w:t>
            </w:r>
          </w:p>
        </w:tc>
        <w:tc>
          <w:tcPr>
            <w:tcW w:type="dxa" w:w="1080"/>
          </w:tcPr>
          <w:p>
            <w:r>
              <w:rPr>
                <w:rFonts w:ascii="Calibri" w:hAnsi="Calibri"/>
                <w:sz w:val="22"/>
              </w:rPr>
              <w:t>$2,600M</w:t>
            </w:r>
          </w:p>
        </w:tc>
        <w:tc>
          <w:tcPr>
            <w:tcW w:type="dxa" w:w="1080"/>
          </w:tcPr>
          <w:p>
            <w:r>
              <w:rPr>
                <w:rFonts w:ascii="Calibri" w:hAnsi="Calibri"/>
                <w:sz w:val="22"/>
              </w:rPr>
              <w:t>0.0%</w:t>
            </w:r>
          </w:p>
        </w:tc>
        <w:tc>
          <w:tcPr>
            <w:tcW w:type="dxa" w:w="1080"/>
          </w:tcPr>
          <w:p>
            <w:r>
              <w:rPr>
                <w:rFonts w:ascii="Calibri" w:hAnsi="Calibri"/>
                <w:sz w:val="22"/>
              </w:rPr>
              <w:t>$2.60B</w:t>
            </w:r>
          </w:p>
        </w:tc>
        <w:tc>
          <w:tcPr>
            <w:tcW w:type="dxa" w:w="1080"/>
          </w:tcPr>
          <w:p>
            <w:r>
              <w:rPr>
                <w:rFonts w:ascii="Calibri" w:hAnsi="Calibri"/>
                <w:sz w:val="22"/>
              </w:rPr>
              <w:t>$2.60B (unchanged)</w:t>
            </w:r>
          </w:p>
        </w:tc>
        <w:tc>
          <w:tcPr>
            <w:tcW w:type="dxa" w:w="1080"/>
          </w:tcPr>
          <w:p>
            <w:r>
              <w:rPr>
                <w:rFonts w:ascii="Calibri" w:hAnsi="Calibri"/>
                <w:sz w:val="22"/>
              </w:rPr>
              <w:t>0%</w:t>
            </w:r>
          </w:p>
        </w:tc>
        <w:tc>
          <w:tcPr>
            <w:tcW w:type="dxa" w:w="1080"/>
          </w:tcPr>
          <w:p>
            <w:r>
              <w:rPr>
                <w:rFonts w:ascii="Calibri" w:hAnsi="Calibri"/>
                <w:sz w:val="22"/>
              </w:rPr>
              <w:t>Exactly on guidance</w:t>
            </w:r>
          </w:p>
        </w:tc>
      </w:tr>
    </w:tbl>
    <w:p>
      <w:r>
        <w:rPr>
          <w:rFonts w:ascii="Calibri" w:hAnsi="Calibri"/>
          <w:i/>
          <w:color w:val="525866"/>
          <w:sz w:val="22"/>
        </w:rPr>
        <w:t>Source: Visible Alpha Consensus and Actuals Data. As-of date (5/9/26) represents ~5 trading days post Q1 2026 earnings (May 4, 2026). Note: VA did not return a populated as-of consensus for Operating EPS at the 5/9/26 snapshot; the current consensus of $4.77 (FY 2026) and $5.49 (FY 2027) are the latest available figures.</w:t>
      </w:r>
    </w:p>
    <w:p>
      <w:r>
        <w:rPr>
          <w:rFonts w:ascii="Calibri" w:hAnsi="Calibri"/>
          <w:color w:val="525866"/>
          <w:sz w:val="22"/>
        </w:rPr>
        <w:t>Revenue estimates have drifted slightly lower (-1.1% for Q2, -1.3% for retail GWh) since the Q1 print, consistent with normal seasonal re-calibration, while FY 2026 revenue has ticked up +1.0%. The flat CapEx consensus confirms the Street is not yet pricing in upside from the IRP update or subscription model conversions. The FY 2027 EPS consensus of $5.49 implies ~15% growth off the FY 2026 guidance midpoint, well above the stated 5–7% long-term target, suggesting the Street is already embedding meaningful rate case relief and large-load ramp acceleration.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PNW has outperformed the utility sector (XLU) by ~3 percentage points since the Q1 earnings date, driven by improving sentiment on the large-load growth story and transmission revenue step-up, but has </w:t>
      </w:r>
      <w:r>
        <w:rPr>
          <w:rFonts w:ascii="Calibri" w:hAnsi="Calibri"/>
          <w:b/>
          <w:color w:val="525866"/>
          <w:sz w:val="22"/>
        </w:rPr>
        <w:t>significantly underperformed the S&amp;P 500</w:t>
      </w:r>
      <w:r>
        <w:rPr>
          <w:rFonts w:ascii="Calibri" w:hAnsi="Calibri"/>
          <w:color w:val="525866"/>
          <w:sz w:val="22"/>
        </w:rPr>
        <w:t xml:space="preserve"> (+5.5%) as the risk-on environment favored growth over defensives. The stock's relative strength vs. XLU suggests the market is beginning to price in PNW's differentiated growth profile.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PNW vs. XLU (Utilities ETF) vs. S&amp;P 500 — Indexed to 100 at May 4, 2026 (Q1 2026 Earnings Date).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Price at Q1 Earnings (5/4/26)</w:t>
            </w:r>
          </w:p>
        </w:tc>
        <w:tc>
          <w:tcPr>
            <w:tcW w:type="dxa" w:w="2160"/>
            <w:shd w:val="clear" w:color="auto" w:fill="3B4259"/>
          </w:tcPr>
          <w:p>
            <w:r>
              <w:rPr>
                <w:rFonts w:ascii="Calibri" w:hAnsi="Calibri"/>
                <w:b/>
                <w:color w:val="FFFFFF"/>
                <w:sz w:val="22"/>
              </w:rPr>
              <w:t>Price as of 8/4/26</w:t>
            </w:r>
          </w:p>
        </w:tc>
        <w:tc>
          <w:tcPr>
            <w:tcW w:type="dxa" w:w="2160"/>
            <w:shd w:val="clear" w:color="auto" w:fill="3B4259"/>
          </w:tcPr>
          <w:p>
            <w:r>
              <w:rPr>
                <w:rFonts w:ascii="Calibri" w:hAnsi="Calibri"/>
                <w:b/>
                <w:color w:val="FFFFFF"/>
                <w:sz w:val="22"/>
              </w:rPr>
              <w:t>Total Return Since Earnings</w:t>
            </w:r>
          </w:p>
        </w:tc>
      </w:tr>
      <w:tr>
        <w:tc>
          <w:tcPr>
            <w:tcW w:type="dxa" w:w="2160"/>
          </w:tcPr>
          <w:p>
            <w:r>
              <w:rPr>
                <w:rFonts w:ascii="Calibri" w:hAnsi="Calibri"/>
                <w:sz w:val="22"/>
              </w:rPr>
              <w:t>PNW</w:t>
            </w:r>
          </w:p>
        </w:tc>
        <w:tc>
          <w:tcPr>
            <w:tcW w:type="dxa" w:w="2160"/>
          </w:tcPr>
          <w:p>
            <w:r>
              <w:rPr>
                <w:rFonts w:ascii="Calibri" w:hAnsi="Calibri"/>
                <w:sz w:val="22"/>
              </w:rPr>
              <w:t>$101.82</w:t>
            </w:r>
          </w:p>
        </w:tc>
        <w:tc>
          <w:tcPr>
            <w:tcW w:type="dxa" w:w="2160"/>
          </w:tcPr>
          <w:p>
            <w:r>
              <w:rPr>
                <w:rFonts w:ascii="Calibri" w:hAnsi="Calibri"/>
                <w:sz w:val="22"/>
              </w:rPr>
              <w:t>$100.81</w:t>
            </w:r>
          </w:p>
        </w:tc>
        <w:tc>
          <w:tcPr>
            <w:tcW w:type="dxa" w:w="2160"/>
          </w:tcPr>
          <w:p>
            <w:r>
              <w:rPr>
                <w:rFonts w:ascii="Calibri" w:hAnsi="Calibri"/>
                <w:sz w:val="22"/>
              </w:rPr>
              <w:t>-1.0%</w:t>
            </w:r>
          </w:p>
        </w:tc>
      </w:tr>
      <w:tr>
        <w:tc>
          <w:tcPr>
            <w:tcW w:type="dxa" w:w="2160"/>
          </w:tcPr>
          <w:p>
            <w:r>
              <w:rPr>
                <w:rFonts w:ascii="Calibri" w:hAnsi="Calibri"/>
                <w:sz w:val="22"/>
              </w:rPr>
              <w:t>XLU (Utilities ETF)</w:t>
            </w:r>
          </w:p>
        </w:tc>
        <w:tc>
          <w:tcPr>
            <w:tcW w:type="dxa" w:w="2160"/>
          </w:tcPr>
          <w:p>
            <w:r>
              <w:rPr>
                <w:rFonts w:ascii="Calibri" w:hAnsi="Calibri"/>
                <w:sz w:val="22"/>
              </w:rPr>
              <w:t>$46.37</w:t>
            </w:r>
          </w:p>
        </w:tc>
        <w:tc>
          <w:tcPr>
            <w:tcW w:type="dxa" w:w="2160"/>
          </w:tcPr>
          <w:p>
            <w:r>
              <w:rPr>
                <w:rFonts w:ascii="Calibri" w:hAnsi="Calibri"/>
                <w:sz w:val="22"/>
              </w:rPr>
              <w:t>$44.36</w:t>
            </w:r>
          </w:p>
        </w:tc>
        <w:tc>
          <w:tcPr>
            <w:tcW w:type="dxa" w:w="2160"/>
          </w:tcPr>
          <w:p>
            <w:r>
              <w:rPr>
                <w:rFonts w:ascii="Calibri" w:hAnsi="Calibri"/>
                <w:sz w:val="22"/>
              </w:rPr>
              <w:t>-4.3%</w:t>
            </w:r>
          </w:p>
        </w:tc>
      </w:tr>
      <w:tr>
        <w:tc>
          <w:tcPr>
            <w:tcW w:type="dxa" w:w="2160"/>
          </w:tcPr>
          <w:p>
            <w:r>
              <w:rPr>
                <w:rFonts w:ascii="Calibri" w:hAnsi="Calibri"/>
                <w:sz w:val="22"/>
              </w:rPr>
              <w:t>SPY (S&amp;P 500)</w:t>
            </w:r>
          </w:p>
        </w:tc>
        <w:tc>
          <w:tcPr>
            <w:tcW w:type="dxa" w:w="2160"/>
          </w:tcPr>
          <w:p>
            <w:r>
              <w:rPr>
                <w:rFonts w:ascii="Calibri" w:hAnsi="Calibri"/>
                <w:sz w:val="22"/>
              </w:rPr>
              <w:t>$718.01</w:t>
            </w:r>
          </w:p>
        </w:tc>
        <w:tc>
          <w:tcPr>
            <w:tcW w:type="dxa" w:w="2160"/>
          </w:tcPr>
          <w:p>
            <w:r>
              <w:rPr>
                <w:rFonts w:ascii="Calibri" w:hAnsi="Calibri"/>
                <w:sz w:val="22"/>
              </w:rPr>
              <w:t>$757.67</w:t>
            </w:r>
          </w:p>
        </w:tc>
        <w:tc>
          <w:tcPr>
            <w:tcW w:type="dxa" w:w="2160"/>
          </w:tcPr>
          <w:p>
            <w:r>
              <w:rPr>
                <w:rFonts w:ascii="Calibri" w:hAnsi="Calibri"/>
                <w:sz w:val="22"/>
              </w:rPr>
              <w:t>+5.5%</w:t>
            </w:r>
          </w:p>
        </w:tc>
      </w:tr>
    </w:tbl>
    <w:p>
      <w:r>
        <w:rPr>
          <w:rFonts w:ascii="Calibri" w:hAnsi="Calibri"/>
          <w:i/>
          <w:color w:val="525866"/>
          <w:sz w:val="22"/>
        </w:rPr>
        <w:t>Source: Stock Price Data (Yahoo Finance). Sector ETF: XLU (Utilities Select Sector SPDR Fund), appropriate for PNW's regulated electric utility sub-sector.</w:t>
      </w:r>
    </w:p>
    <w:p>
      <w:r>
        <w:rPr>
          <w:rFonts w:ascii="Calibri" w:hAnsi="Calibri"/>
          <w:color w:val="525866"/>
          <w:sz w:val="22"/>
        </w:rPr>
        <w:t>PNW peaked at ~$109 on July 2–14 (roughly +7% from the earnings date) before pulling back to ~$101 by early August, tracking the broader utility sector weakness. The mid-June to early-July rally coincided with the Entergy Investor Day (June 9) and broader utility sector re-rating on large-load growth enthusiasm. The late-July pullback aligns with the broader XLU decline, suggesting macro/rate sensitivity rather than company-specific news. The stock's outperformance vs. XLU throughout the period reflects the market's growing appreciation of PNW's differentiated Arizona growth story.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commencement of the APS rate case hearing on May 18</w:t>
      </w:r>
      <w:r>
        <w:rPr>
          <w:rFonts w:ascii="Calibri" w:hAnsi="Calibri"/>
          <w:color w:val="525866"/>
          <w:sz w:val="22"/>
        </w:rPr>
        <w:t>, which will determine the magnitude and timing of regulatory lag reduction — the single biggest driver of PNW's medium-term earnings trajectory. The IRP filing expected August 3 is the next major catalyst.</w:t>
      </w:r>
    </w:p>
    <w:p>
      <w:pPr>
        <w:pStyle w:val="ListBullet"/>
        <w:ind w:left="360" w:hanging="360"/>
      </w:pPr>
      <w:r>
        <w:rPr>
          <w:rFonts w:ascii="Calibri" w:hAnsi="Calibri"/>
          <w:b/>
          <w:color w:val="525866"/>
          <w:sz w:val="22"/>
        </w:rPr>
        <w:t>August 3, 2026 — IRP Filing Expected:</w:t>
      </w:r>
      <w:r>
        <w:rPr>
          <w:rFonts w:ascii="Calibri" w:hAnsi="Calibri"/>
          <w:color w:val="525866"/>
          <w:sz w:val="22"/>
        </w:rPr>
        <w:t xml:space="preserve"> PNW's Integrated Resource Plan update is expected to be filed today, providing the first comprehensive refresh of long-term load and resource planning since the 4.5 GW committed pipeline was established. This will include specific generation and transmission project buckets and is the next major catalyst for updating the long-term CapEx and sales growth narrative. </w:t>
      </w:r>
    </w:p>
    <w:p>
      <w:pPr>
        <w:pStyle w:val="ListBullet"/>
        <w:ind w:left="360" w:hanging="360"/>
      </w:pPr>
      <w:r>
        <w:rPr>
          <w:rFonts w:ascii="Calibri" w:hAnsi="Calibri"/>
          <w:b/>
          <w:color w:val="525866"/>
          <w:sz w:val="22"/>
        </w:rPr>
        <w:t>July 8, 2026 — Q2 Earnings Date Set:</w:t>
      </w:r>
      <w:r>
        <w:rPr>
          <w:rFonts w:ascii="Calibri" w:hAnsi="Calibri"/>
          <w:color w:val="525866"/>
          <w:sz w:val="22"/>
        </w:rPr>
        <w:t xml:space="preserve"> Pinnacle West announced the date for Q2 2026 financial results and webcast/conference call, confirming the upcoming print. </w:t>
      </w:r>
    </w:p>
    <w:p>
      <w:pPr>
        <w:pStyle w:val="ListBullet"/>
        <w:ind w:left="360" w:hanging="360"/>
      </w:pPr>
      <w:r>
        <w:rPr>
          <w:rFonts w:ascii="Calibri" w:hAnsi="Calibri"/>
          <w:b/>
          <w:color w:val="525866"/>
          <w:sz w:val="22"/>
        </w:rPr>
        <w:t>June 29, 2026 — Nuclear Chief Deferred Compensation Grant:</w:t>
      </w:r>
      <w:r>
        <w:rPr>
          <w:rFonts w:ascii="Calibri" w:hAnsi="Calibri"/>
          <w:color w:val="525866"/>
          <w:sz w:val="22"/>
        </w:rPr>
        <w:t xml:space="preserve"> PNW granted $1.5M in deferred compensation to its Nuclear Chief (8-K filed). </w:t>
      </w:r>
    </w:p>
    <w:p>
      <w:pPr>
        <w:pStyle w:val="ListBullet"/>
        <w:ind w:left="360" w:hanging="360"/>
      </w:pPr>
      <w:r>
        <w:rPr>
          <w:rFonts w:ascii="Calibri" w:hAnsi="Calibri"/>
          <w:b/>
          <w:color w:val="525866"/>
          <w:sz w:val="22"/>
        </w:rPr>
        <w:t>May 18, 2026 — Rate Case Hearing Commenced:</w:t>
      </w:r>
      <w:r>
        <w:rPr>
          <w:rFonts w:ascii="Calibri" w:hAnsi="Calibri"/>
          <w:b/>
          <w:color w:val="002FA7"/>
          <w:sz w:val="22"/>
        </w:rPr>
        <w:t xml:space="preserve"> The 2025 APS Rate Case hearing began as scheduled. APS is seeking a $611M net revenue increase (14.75% customer impact on Day 1), a Formula Rate Adjustment Mechanism (FRAM) with ±40 bps ROE band, and 12 months of post-test year plant inclusion. A commission decision is expected before December 1, 2026, with rates effective in December. </w:t>
      </w:r>
      <w:r>
        <w:rPr>
          <w:rFonts w:ascii="Calibri" w:hAnsi="Calibri"/>
          <w:color w:val="525866"/>
          <w:sz w:val="22"/>
        </w:rPr>
        <w:t>This is the single most important regulatory event for PNW's earnings trajectory through 2029.</w:t>
      </w:r>
    </w:p>
    <w:p>
      <w:pPr>
        <w:pStyle w:val="ListBullet"/>
        <w:ind w:left="360" w:hanging="360"/>
      </w:pPr>
      <w:r>
        <w:rPr>
          <w:rFonts w:ascii="Calibri" w:hAnsi="Calibri"/>
          <w:b/>
          <w:color w:val="525866"/>
          <w:sz w:val="22"/>
        </w:rPr>
        <w:t>May 18, 2026 — Annual Meeting:</w:t>
      </w:r>
      <w:r>
        <w:rPr>
          <w:rFonts w:ascii="Calibri" w:hAnsi="Calibri"/>
          <w:color w:val="525866"/>
          <w:sz w:val="22"/>
        </w:rPr>
        <w:t xml:space="preserve"> Shareholders backed all proposals at the annual meeting (8-K filed). </w:t>
      </w:r>
    </w:p>
    <w:p>
      <w:pPr>
        <w:pStyle w:val="ListBullet"/>
        <w:ind w:left="360" w:hanging="360"/>
      </w:pPr>
      <w:r>
        <w:rPr>
          <w:rFonts w:ascii="Calibri" w:hAnsi="Calibri"/>
          <w:b/>
          <w:color w:val="525866"/>
          <w:sz w:val="22"/>
        </w:rPr>
        <w:t>May 6, 2026 — Investor Deck Filed (8-K EX-99.1):</w:t>
      </w:r>
      <w:r>
        <w:rPr>
          <w:rFonts w:ascii="Calibri" w:hAnsi="Calibri"/>
          <w:color w:val="525866"/>
          <w:sz w:val="22"/>
        </w:rPr>
        <w:t xml:space="preserve"> PNW filed a comprehensive investor presentation reinforcing the large-load growth story: 4.5 GW committed pipeline, ~20 GW uncommitted queue, $6B+ cumulative transmission CapEx through 2035, and long-term EPS growth of 5–7% off the 2024 midpoint. The deck also detailed the FRAM proposal and updated rate case positions. </w:t>
      </w:r>
    </w:p>
    <w:p>
      <w:pPr>
        <w:pStyle w:val="ListBullet"/>
        <w:ind w:left="360" w:hanging="360"/>
      </w:pPr>
      <w:r>
        <w:rPr>
          <w:rFonts w:ascii="Calibri" w:hAnsi="Calibri"/>
          <w:b/>
          <w:color w:val="525866"/>
          <w:sz w:val="22"/>
        </w:rPr>
        <w:t>May 4, 2026 — Q1 2026 Earnings Beat:</w:t>
      </w:r>
      <w:r>
        <w:rPr>
          <w:rFonts w:ascii="Calibri" w:hAnsi="Calibri"/>
          <w:color w:val="525866"/>
          <w:sz w:val="22"/>
        </w:rPr>
        <w:t xml:space="preserve"> PNW reported Q1 2026 Operating EPS of $0.27 vs. consensus of ~$0.10, a dramatic beat driven by $0.16 of transmission revenue benefit, $0.13 of weather benefit, and lower O&amp;M. Weather-normalized sales growth of 9.4% (7.4% adjusted for one-time prior-year item) ran well above the 4–6% annual guide. All 2026 equity funding needs completed ahead of schedule. FY 2026 guidance reaffirmed. </w:t>
      </w:r>
    </w:p>
    <w:p>
      <w:pPr>
        <w:pStyle w:val="ListBullet"/>
        <w:ind w:left="360" w:hanging="360"/>
      </w:pPr>
      <w:r>
        <w:rPr>
          <w:rFonts w:ascii="Calibri" w:hAnsi="Calibri"/>
          <w:b/>
          <w:color w:val="525866"/>
          <w:sz w:val="22"/>
        </w:rPr>
        <w:t>Ongoing — TSMC Arizona Expansion:</w:t>
      </w:r>
      <w:r>
        <w:rPr>
          <w:rFonts w:ascii="Calibri" w:hAnsi="Calibri"/>
          <w:color w:val="525866"/>
          <w:sz w:val="22"/>
        </w:rPr>
        <w:t xml:space="preserve"> TSMC's second fab is complete with 3nm volume production expected in H2 2027; third and fourth fabs plus first advanced packaging facility under construction, all expected online by 2029. Semiconductor supply chain suppliers (United Integrated Services, Sunlit Chemicals, Mornstair) have purchased land in North Phoenix. This directly supports PNW's 4.5 GW committed pipeline and long-term 5–7% sales growth guide. </w:t>
      </w:r>
    </w:p>
    <w:p>
      <w:pPr>
        <w:pStyle w:val="ListBullet"/>
        <w:ind w:left="360" w:hanging="360"/>
      </w:pPr>
      <w:r>
        <w:rPr>
          <w:rFonts w:ascii="Calibri" w:hAnsi="Calibri"/>
          <w:b/>
          <w:color w:val="525866"/>
          <w:sz w:val="22"/>
        </w:rPr>
        <w:t>Ongoing — Redhawk Expansion &amp; Desert Sun Projects:</w:t>
      </w:r>
      <w:r>
        <w:rPr>
          <w:rFonts w:ascii="Calibri" w:hAnsi="Calibri"/>
          <w:color w:val="525866"/>
          <w:sz w:val="22"/>
        </w:rPr>
        <w:t xml:space="preserve"> Construction underway at Redhawk to add 8 combustion turbines (~400 MW of natural gas capacity). Desert Sun project advancing with major equipment reservations secured. All-source RFP awards expected later in 2026 for resources entering service 2029–2031. </w:t>
      </w:r>
    </w:p>
    <w:p>
      <w:pPr>
        <w:pStyle w:val="ListBullet"/>
        <w:ind w:left="360" w:hanging="360"/>
      </w:pPr>
      <w:r>
        <w:rPr>
          <w:rFonts w:ascii="Calibri" w:hAnsi="Calibri"/>
          <w:b/>
          <w:color w:val="525866"/>
          <w:sz w:val="22"/>
        </w:rPr>
        <w:t>Ongoing — Subscription Model Negotiations:</w:t>
      </w:r>
      <w:r>
        <w:rPr>
          <w:rFonts w:ascii="Calibri" w:hAnsi="Calibri"/>
          <w:color w:val="525866"/>
          <w:sz w:val="22"/>
        </w:rPr>
        <w:t xml:space="preserve"> Active negotiations with counterparties on subscription model projects (initial offering: 1.0–1.2 GW). Agreements expected to be filed with the Arizona Corporation Commission in 2026. This is the mechanism to convert uncommitted queue into committed load. </w:t>
      </w:r>
    </w:p>
    <w:p>
      <w:pPr>
        <w:pStyle w:val="ListBullet"/>
        <w:ind w:left="360" w:hanging="360"/>
      </w:pPr>
      <w:r>
        <w:rPr>
          <w:rFonts w:ascii="Calibri" w:hAnsi="Calibri"/>
          <w:b/>
          <w:color w:val="525866"/>
          <w:sz w:val="22"/>
        </w:rPr>
        <w:t>Ongoing — FERC Section 206 Show Cause Orders (June 2026):</w:t>
      </w:r>
      <w:r>
        <w:rPr>
          <w:rFonts w:ascii="Calibri" w:hAnsi="Calibri"/>
          <w:color w:val="525866"/>
          <w:sz w:val="22"/>
        </w:rPr>
        <w:t xml:space="preserve"> FERC's large-load show cause orders (referenced by NEE on its Q2 call) are creating a market shift requiring utilities to demonstrate that large load customers pay their fair share. PNW's proposed XHLF tariff update (part of the rate case) is already aligned with this principle. </w:t>
      </w:r>
    </w:p>
    <w:p>
      <w:r>
        <w:br w:type="page"/>
      </w:r>
    </w:p>
    <w:p>
      <w:pPr>
        <w:pStyle w:val="Heading2"/>
      </w:pPr>
      <w:r>
        <w:rPr>
          <w:rFonts w:ascii="Calibri" w:hAnsi="Calibri"/>
          <w:b/>
          <w:color w:val="3B4259"/>
          <w:sz w:val="28"/>
        </w:rPr>
        <w:t>7. Peer Commentaries — Read-Through (Last 60 Days, Q2 2026 Focused)</w:t>
      </w:r>
    </w:p>
    <w:p>
      <w:r>
        <w:rPr>
          <w:rFonts w:ascii="Calibri" w:hAnsi="Calibri"/>
          <w:b/>
          <w:color w:val="525866"/>
          <w:sz w:val="22"/>
        </w:rPr>
        <w:t xml:space="preserve">Key Takeaway: </w:t>
      </w:r>
      <w:r>
        <w:rPr>
          <w:rFonts w:ascii="Calibri" w:hAnsi="Calibri"/>
          <w:color w:val="525866"/>
          <w:sz w:val="22"/>
        </w:rPr>
        <w:t xml:space="preserve">Peers reporting Q2 2026 results (XEL, AEP, NEE, SO, ETR, EXC, WEC, PCG) delivered a broadly constructive read-through for PNW: </w:t>
      </w:r>
      <w:r>
        <w:rPr>
          <w:rFonts w:ascii="Calibri" w:hAnsi="Calibri"/>
          <w:b/>
          <w:color w:val="525866"/>
          <w:sz w:val="22"/>
        </w:rPr>
        <w:t>large-load demand remains robust and accelerating</w:t>
      </w:r>
      <w:r>
        <w:rPr>
          <w:rFonts w:ascii="Calibri" w:hAnsi="Calibri"/>
          <w:color w:val="525866"/>
          <w:sz w:val="22"/>
        </w:rPr>
        <w:t xml:space="preserve">, transmission investment is ramping across the sector, and regulatory frameworks for large-load tariffs are advancing. The most direct read-throughs are from </w:t>
      </w:r>
      <w:r>
        <w:rPr>
          <w:rFonts w:ascii="Calibri" w:hAnsi="Calibri"/>
          <w:b/>
          <w:color w:val="525866"/>
          <w:sz w:val="22"/>
        </w:rPr>
        <w:t>Southern Company's 17 GW contracted pipeline</w:t>
      </w:r>
      <w:r>
        <w:rPr>
          <w:rFonts w:ascii="Calibri" w:hAnsi="Calibri"/>
          <w:color w:val="525866"/>
          <w:sz w:val="22"/>
        </w:rPr>
        <w:t xml:space="preserve"> and </w:t>
      </w:r>
      <w:r>
        <w:rPr>
          <w:rFonts w:ascii="Calibri" w:hAnsi="Calibri"/>
          <w:b/>
          <w:color w:val="525866"/>
          <w:sz w:val="22"/>
        </w:rPr>
        <w:t>AEP's 69 GW contracted load</w:t>
      </w:r>
      <w:r>
        <w:rPr>
          <w:rFonts w:ascii="Calibri" w:hAnsi="Calibri"/>
          <w:color w:val="525866"/>
          <w:sz w:val="22"/>
        </w:rPr>
        <w:t xml:space="preserve"> — both validating that hyperscaler demand is real and growing — and from </w:t>
      </w:r>
      <w:r>
        <w:rPr>
          <w:rFonts w:ascii="Calibri" w:hAnsi="Calibri"/>
          <w:b/>
          <w:color w:val="525866"/>
          <w:sz w:val="22"/>
        </w:rPr>
        <w:t>Entergy's Investor Day</w:t>
      </w:r>
      <w:r>
        <w:rPr>
          <w:rFonts w:ascii="Calibri" w:hAnsi="Calibri"/>
          <w:color w:val="525866"/>
          <w:sz w:val="22"/>
        </w:rPr>
        <w:t xml:space="preserve"> (June 9), which showed 9% retail sales growth and a doubling of the ESA backlog, directly analogous to PNW's Arizona story.</w:t>
      </w:r>
    </w:p>
    <w:p>
      <w:pPr>
        <w:pStyle w:val="Heading3"/>
      </w:pPr>
      <w:r>
        <w:rPr>
          <w:rFonts w:ascii="Calibri" w:hAnsi="Calibri"/>
          <w:b/>
          <w:color w:val="3B4259"/>
          <w:sz w:val="24"/>
        </w:rPr>
        <w:t>Xcel Energy (XEL) — Q2 2026 Earnings Call (July 30, 2026)</w:t>
      </w:r>
    </w:p>
    <w:p>
      <w:r>
        <w:rPr>
          <w:rFonts w:ascii="Calibri" w:hAnsi="Calibri"/>
          <w:b/>
          <w:color w:val="525866"/>
          <w:sz w:val="22"/>
        </w:rPr>
        <w:t xml:space="preserve">Read-Through Relevance: </w:t>
      </w:r>
      <w:r>
        <w:rPr>
          <w:rFonts w:ascii="Calibri" w:hAnsi="Calibri"/>
          <w:color w:val="525866"/>
          <w:sz w:val="22"/>
        </w:rPr>
        <w:t>MODERATE-HIGH. XEL's data center strategy and large-load tariff execution are directly analogous to PNW's subscription model and XHLF tariff update.</w:t>
      </w:r>
    </w:p>
    <w:p>
      <w:pPr>
        <w:pStyle w:val="ListBullet"/>
        <w:ind w:left="360" w:hanging="360"/>
      </w:pPr>
      <w:r>
        <w:rPr>
          <w:rFonts w:ascii="Calibri" w:hAnsi="Calibri"/>
          <w:b/>
          <w:color w:val="525866"/>
          <w:sz w:val="22"/>
        </w:rPr>
        <w:t>Data center demand accelerating:</w:t>
      </w:r>
      <w:r>
        <w:rPr>
          <w:rFonts w:ascii="Calibri" w:hAnsi="Calibri"/>
          <w:b/>
          <w:color w:val="30A46C"/>
          <w:sz w:val="22"/>
        </w:rPr>
        <w:t xml:space="preserve"> XEL added 3 GW of data center demand to its target plan and has 1 GW in operation/construction plus 1 GW under signed ESAs. Expects to secure an additional 4 GW by year-end 2027. For every 1 GW of data centers, XEL estimates $5–6B of generation investment. </w:t>
      </w:r>
      <w:r>
        <w:rPr>
          <w:rFonts w:ascii="Calibri" w:hAnsi="Calibri"/>
          <w:color w:val="525866"/>
          <w:sz w:val="22"/>
        </w:rPr>
        <w:t>Read-through: Validates PNW's 4.5 GW committed pipeline and the capital intensity of serving large load.</w:t>
      </w:r>
    </w:p>
    <w:p>
      <w:pPr>
        <w:pStyle w:val="ListBullet"/>
        <w:ind w:left="360" w:hanging="360"/>
      </w:pPr>
      <w:r>
        <w:rPr>
          <w:rFonts w:ascii="Calibri" w:hAnsi="Calibri"/>
          <w:b/>
          <w:color w:val="525866"/>
          <w:sz w:val="22"/>
        </w:rPr>
        <w:t>Large-load tariffs advancing:</w:t>
      </w:r>
      <w:r>
        <w:rPr>
          <w:rFonts w:ascii="Calibri" w:hAnsi="Calibri"/>
          <w:b/>
          <w:color w:val="30A46C"/>
          <w:sz w:val="22"/>
        </w:rPr>
        <w:t xml:space="preserve"> XEL's large-load tariff was recently approved in Minnesota and filed in Colorado and Wisconsin; Texas and New Mexico filings planned for Q3. Tariffs designed to protect existing customers while enabling growth. </w:t>
      </w:r>
      <w:r>
        <w:rPr>
          <w:rFonts w:ascii="Calibri" w:hAnsi="Calibri"/>
          <w:color w:val="525866"/>
          <w:sz w:val="22"/>
        </w:rPr>
        <w:t>Read-through: Positive for PNW's XHLF tariff update in the rate case — regulatory momentum is building sector-wide.</w:t>
      </w:r>
    </w:p>
    <w:p>
      <w:pPr>
        <w:pStyle w:val="ListBullet"/>
        <w:ind w:left="360" w:hanging="360"/>
      </w:pPr>
      <w:r>
        <w:rPr>
          <w:rFonts w:ascii="Calibri" w:hAnsi="Calibri"/>
          <w:b/>
          <w:color w:val="525866"/>
          <w:sz w:val="22"/>
        </w:rPr>
        <w:t>Regulatory execution strong:</w:t>
      </w:r>
      <w:r>
        <w:rPr>
          <w:rFonts w:ascii="Calibri" w:hAnsi="Calibri"/>
          <w:b/>
          <w:color w:val="30A46C"/>
          <w:sz w:val="22"/>
        </w:rPr>
        <w:t xml:space="preserve"> XEL advanced settlements or reached decisions in 6 active rate cases, keeping long-term bill growth at or below inflation. </w:t>
      </w:r>
      <w:r>
        <w:rPr>
          <w:rFonts w:ascii="Calibri" w:hAnsi="Calibri"/>
          <w:color w:val="525866"/>
          <w:sz w:val="22"/>
        </w:rPr>
        <w:t>Read-through: Constructive regulatory environment broadly, though PNW's Arizona case is more complex given the FRAM proposal.</w:t>
      </w:r>
    </w:p>
    <w:p>
      <w:pPr>
        <w:pStyle w:val="ListBullet"/>
        <w:ind w:left="360" w:hanging="360"/>
      </w:pPr>
      <w:r>
        <w:rPr>
          <w:rFonts w:ascii="Calibri" w:hAnsi="Calibri"/>
          <w:b/>
          <w:color w:val="525866"/>
          <w:sz w:val="22"/>
        </w:rPr>
        <w:t>Weather-adjusted sales growth +2.1% YTD:</w:t>
      </w:r>
      <w:r>
        <w:rPr>
          <w:rFonts w:ascii="Calibri" w:hAnsi="Calibri"/>
          <w:color w:val="525866"/>
          <w:sz w:val="22"/>
        </w:rPr>
        <w:t xml:space="preserve"> XEL tracking for +3% full-year adjusted electric sales growth. Modest vs. PNW's 9.4% Q1 weather-normalized growth, reflecting PNW's superior large-load ramp. </w:t>
      </w:r>
    </w:p>
    <w:p>
      <w:pPr>
        <w:pStyle w:val="ListBullet"/>
        <w:ind w:left="360" w:hanging="360"/>
      </w:pPr>
      <w:r>
        <w:rPr>
          <w:rFonts w:ascii="Calibri" w:hAnsi="Calibri"/>
          <w:b/>
          <w:color w:val="525866"/>
          <w:sz w:val="22"/>
        </w:rPr>
        <w:t>EPS guidance reaffirmed:</w:t>
      </w:r>
      <w:r>
        <w:rPr>
          <w:rFonts w:ascii="Calibri" w:hAnsi="Calibri"/>
          <w:color w:val="525866"/>
          <w:sz w:val="22"/>
        </w:rPr>
        <w:t xml:space="preserve"> XEL reaffirmed 2026 EPS guidance of $4.04–$4.16 and expects 9%+ EPS growth through 2030. </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Read-Through Relevance: </w:t>
      </w:r>
      <w:r>
        <w:rPr>
          <w:rFonts w:ascii="Calibri" w:hAnsi="Calibri"/>
          <w:color w:val="525866"/>
          <w:sz w:val="22"/>
        </w:rPr>
        <w:t>MODERATE. NEE's FPL subsidiary is the closest regulated utility analog to PNW in terms of large-load pipeline scale and tariff structure.</w:t>
      </w:r>
    </w:p>
    <w:p>
      <w:pPr>
        <w:pStyle w:val="ListBullet"/>
        <w:ind w:left="360" w:hanging="360"/>
      </w:pPr>
      <w:r>
        <w:rPr>
          <w:rFonts w:ascii="Calibri" w:hAnsi="Calibri"/>
          <w:b/>
          <w:color w:val="525866"/>
          <w:sz w:val="22"/>
        </w:rPr>
        <w:t>Large-load expectations raised to 8 GW by 2032:</w:t>
      </w:r>
      <w:r>
        <w:rPr>
          <w:rFonts w:ascii="Calibri" w:hAnsi="Calibri"/>
          <w:b/>
          <w:color w:val="30A46C"/>
          <w:sz w:val="22"/>
        </w:rPr>
        <w:t xml:space="preserve"> NEE updated FPL's large-load expectations from 6 GW to 8 GW as part of a new four-year rate agreement. FPL has ~21 GW of large-load interest with advanced discussions on 12 GW. </w:t>
      </w:r>
      <w:r>
        <w:rPr>
          <w:rFonts w:ascii="Calibri" w:hAnsi="Calibri"/>
          <w:color w:val="525866"/>
          <w:sz w:val="22"/>
        </w:rPr>
        <w:t>Read-through: Validates the scale of hyperscaler demand; PNW's ~20 GW uncommitted queue is consistent with sector-wide pipeline sizes.</w:t>
      </w:r>
    </w:p>
    <w:p>
      <w:pPr>
        <w:pStyle w:val="ListBullet"/>
        <w:ind w:left="360" w:hanging="360"/>
      </w:pPr>
      <w:r>
        <w:rPr>
          <w:rFonts w:ascii="Calibri" w:hAnsi="Calibri"/>
          <w:b/>
          <w:color w:val="525866"/>
          <w:sz w:val="22"/>
        </w:rPr>
        <w:t>Florida governor codified large-load tariff into law:</w:t>
      </w:r>
      <w:r>
        <w:rPr>
          <w:rFonts w:ascii="Calibri" w:hAnsi="Calibri"/>
          <w:b/>
          <w:color w:val="30A46C"/>
          <w:sz w:val="22"/>
        </w:rPr>
        <w:t xml:space="preserve"> Florida's governor signed a bill codifying FPL's large-load tariff, reinforcing the principle that large-load customers pay their fair share. </w:t>
      </w:r>
      <w:r>
        <w:rPr>
          <w:rFonts w:ascii="Calibri" w:hAnsi="Calibri"/>
          <w:color w:val="525866"/>
          <w:sz w:val="22"/>
        </w:rPr>
        <w:t>Read-through: Positive legislative/regulatory momentum for PNW's XHLF tariff update and the ACC's data center rate classification inquiry.</w:t>
      </w:r>
    </w:p>
    <w:p>
      <w:pPr>
        <w:pStyle w:val="ListBullet"/>
        <w:ind w:left="360" w:hanging="360"/>
      </w:pPr>
      <w:r>
        <w:rPr>
          <w:rFonts w:ascii="Calibri" w:hAnsi="Calibri"/>
          <w:b/>
          <w:color w:val="525866"/>
          <w:sz w:val="22"/>
        </w:rPr>
        <w:t>FERC Section 206 show cause orders seen as positive:</w:t>
      </w:r>
      <w:r>
        <w:rPr>
          <w:rFonts w:ascii="Calibri" w:hAnsi="Calibri"/>
          <w:b/>
          <w:color w:val="30A46C"/>
          <w:sz w:val="22"/>
        </w:rPr>
        <w:t xml:space="preserve"> NEE believes FERC's orders will create a market shift generating strong demand for matching load with generation. </w:t>
      </w:r>
      <w:r>
        <w:rPr>
          <w:rFonts w:ascii="Calibri" w:hAnsi="Calibri"/>
          <w:color w:val="525866"/>
          <w:sz w:val="22"/>
        </w:rPr>
        <w:t>Read-through: Supports PNW's subscription model approach and the principle of growth paying for growth.</w:t>
      </w:r>
    </w:p>
    <w:p>
      <w:pPr>
        <w:pStyle w:val="ListBullet"/>
        <w:ind w:left="360" w:hanging="360"/>
      </w:pPr>
      <w:r>
        <w:rPr>
          <w:rFonts w:ascii="Calibri" w:hAnsi="Calibri"/>
          <w:b/>
          <w:color w:val="525866"/>
          <w:sz w:val="22"/>
        </w:rPr>
        <w:t>Each GW of large load = ~$2B CapEx at FPL:</w:t>
      </w:r>
      <w:r>
        <w:rPr>
          <w:rFonts w:ascii="Calibri" w:hAnsi="Calibri"/>
          <w:color w:val="525866"/>
          <w:sz w:val="22"/>
        </w:rPr>
        <w:t xml:space="preserve"> NEE's rule of thumb for regulated large-load CapEx intensity. Read-through: PNW's 4.5 GW committed pipeline implies $9B+ of potential incremental CapEx, consistent with the $10.35B 2025–2028 capital plan. </w:t>
      </w:r>
    </w:p>
    <w:p>
      <w:pPr>
        <w:pStyle w:val="ListBullet"/>
        <w:ind w:left="360" w:hanging="360"/>
      </w:pPr>
      <w:r>
        <w:rPr>
          <w:rFonts w:ascii="Calibri" w:hAnsi="Calibri"/>
          <w:b/>
          <w:color w:val="525866"/>
          <w:sz w:val="22"/>
        </w:rPr>
        <w:t>FPL Q2 retail sales +0.4% YoY (+0.6% weather-normalized):</w:t>
      </w:r>
      <w:r>
        <w:rPr>
          <w:rFonts w:ascii="Calibri" w:hAnsi="Calibri"/>
          <w:color w:val="525866"/>
          <w:sz w:val="22"/>
        </w:rPr>
        <w:t xml:space="preserve"> Modest growth driven by population. PNW's Arizona market is growing significantly faster, reinforcing PNW's premium growth profile. </w:t>
      </w:r>
    </w:p>
    <w:p>
      <w:pPr>
        <w:pStyle w:val="Heading3"/>
      </w:pPr>
      <w:r>
        <w:rPr>
          <w:rFonts w:ascii="Calibri" w:hAnsi="Calibri"/>
          <w:b/>
          <w:color w:val="3B4259"/>
          <w:sz w:val="24"/>
        </w:rPr>
        <w:t>American Electric Power (AEP) — Q2 2026 Earnings Call (July 30, 2026)</w:t>
      </w:r>
    </w:p>
    <w:p>
      <w:r>
        <w:rPr>
          <w:rFonts w:ascii="Calibri" w:hAnsi="Calibri"/>
          <w:b/>
          <w:color w:val="525866"/>
          <w:sz w:val="22"/>
        </w:rPr>
        <w:t xml:space="preserve">Read-Through Relevance: </w:t>
      </w:r>
      <w:r>
        <w:rPr>
          <w:rFonts w:ascii="Calibri" w:hAnsi="Calibri"/>
          <w:color w:val="525866"/>
          <w:sz w:val="22"/>
        </w:rPr>
        <w:t>HIGH. AEP's contracted load pipeline is the largest in the sector and provides the strongest validation of hyperscaler demand durability.</w:t>
      </w:r>
    </w:p>
    <w:p>
      <w:pPr>
        <w:pStyle w:val="ListBullet"/>
        <w:ind w:left="360" w:hanging="360"/>
      </w:pPr>
      <w:r>
        <w:rPr>
          <w:rFonts w:ascii="Calibri" w:hAnsi="Calibri"/>
          <w:b/>
          <w:color w:val="525866"/>
          <w:sz w:val="22"/>
        </w:rPr>
        <w:t>69 GW of contracted load additions through 2030:</w:t>
      </w:r>
      <w:r>
        <w:rPr>
          <w:rFonts w:ascii="Calibri" w:hAnsi="Calibri"/>
          <w:b/>
          <w:color w:val="30A46C"/>
          <w:sz w:val="22"/>
        </w:rPr>
        <w:t xml:space="preserve"> Up 6 GW from 63 GW last quarter, primarily from Texas LOIs. AEP collected nearly $2B in cash/collateral for load commitments. </w:t>
      </w:r>
      <w:r>
        <w:rPr>
          <w:rFonts w:ascii="Calibri" w:hAnsi="Calibri"/>
          <w:color w:val="525866"/>
          <w:sz w:val="22"/>
        </w:rPr>
        <w:t>Read-through: Strongest sector-wide validation that hyperscaler demand is real, committed, and backed by financial collateral. Directly supports PNW's 4.5 GW committed pipeline narrative.</w:t>
      </w:r>
    </w:p>
    <w:p>
      <w:pPr>
        <w:pStyle w:val="ListBullet"/>
        <w:ind w:left="360" w:hanging="360"/>
      </w:pPr>
      <w:r>
        <w:rPr>
          <w:rFonts w:ascii="Calibri" w:hAnsi="Calibri"/>
          <w:b/>
          <w:color w:val="525866"/>
          <w:sz w:val="22"/>
        </w:rPr>
        <w:t>AEP raised 2026 EPS guidance to $6.25–$6.55:</w:t>
      </w:r>
      <w:r>
        <w:rPr>
          <w:rFonts w:ascii="Calibri" w:hAnsi="Calibri"/>
          <w:b/>
          <w:color w:val="30A46C"/>
          <w:sz w:val="22"/>
        </w:rPr>
        <w:t xml:space="preserve"> Up from $6.15–$6.45, driven by constructive regulatory outcomes and higher normalized sales. </w:t>
      </w:r>
      <w:r>
        <w:rPr>
          <w:rFonts w:ascii="Calibri" w:hAnsi="Calibri"/>
          <w:color w:val="525866"/>
          <w:sz w:val="22"/>
        </w:rPr>
        <w:t>Read-through: Positive sector read-through for utility earnings momentum; constructive regulatory environment.</w:t>
      </w:r>
    </w:p>
    <w:p>
      <w:pPr>
        <w:pStyle w:val="ListBullet"/>
        <w:ind w:left="360" w:hanging="360"/>
      </w:pPr>
      <w:r>
        <w:rPr>
          <w:rFonts w:ascii="Calibri" w:hAnsi="Calibri"/>
          <w:b/>
          <w:color w:val="525866"/>
          <w:sz w:val="22"/>
        </w:rPr>
        <w:t>Large-load tariffs protecting existing customers:</w:t>
      </w:r>
      <w:r>
        <w:rPr>
          <w:rFonts w:ascii="Calibri" w:hAnsi="Calibri"/>
          <w:b/>
          <w:color w:val="30A46C"/>
          <w:sz w:val="22"/>
        </w:rPr>
        <w:t xml:space="preserve"> AEP projects $16B in fixed cost offsets for residential customers from new large-load interconnections. Ohio and Indiana Michigan Power planning base rate reductions. </w:t>
      </w:r>
      <w:r>
        <w:rPr>
          <w:rFonts w:ascii="Calibri" w:hAnsi="Calibri"/>
          <w:color w:val="525866"/>
          <w:sz w:val="22"/>
        </w:rPr>
        <w:t>Read-through: Validates PNW's 'growth pays for growth' principle in the rate case; supports the XHLF tariff update.</w:t>
      </w:r>
    </w:p>
    <w:p>
      <w:pPr>
        <w:pStyle w:val="ListBullet"/>
        <w:ind w:left="360" w:hanging="360"/>
      </w:pPr>
      <w:r>
        <w:rPr>
          <w:rFonts w:ascii="Calibri" w:hAnsi="Calibri"/>
          <w:b/>
          <w:color w:val="525866"/>
          <w:sz w:val="22"/>
        </w:rPr>
        <w:t>DOE loan guarantee: $3.3B for AEP Texas transmission:</w:t>
      </w:r>
      <w:r>
        <w:rPr>
          <w:rFonts w:ascii="Calibri" w:hAnsi="Calibri"/>
          <w:color w:val="525866"/>
          <w:sz w:val="22"/>
        </w:rPr>
        <w:t xml:space="preserve"> AEP secured a DOE loan guarantee for ~2,800 miles of transmission projects, expected to deliver $685M in customer savings. Read-through: Federal support for utility transmission investment is accelerating; PNW's $6B+ transmission plan through 2035 could benefit from similar programs. </w:t>
      </w:r>
    </w:p>
    <w:p>
      <w:pPr>
        <w:pStyle w:val="ListBullet"/>
        <w:ind w:left="360" w:hanging="360"/>
      </w:pPr>
      <w:r>
        <w:rPr>
          <w:rFonts w:ascii="Calibri" w:hAnsi="Calibri"/>
          <w:b/>
          <w:color w:val="525866"/>
          <w:sz w:val="22"/>
        </w:rPr>
        <w:t>Nuclear strategy: fee-based, customer-led, balance-sheet protected:</w:t>
      </w:r>
      <w:r>
        <w:rPr>
          <w:rFonts w:ascii="Calibri" w:hAnsi="Calibri"/>
          <w:color w:val="525866"/>
          <w:sz w:val="22"/>
        </w:rPr>
        <w:t xml:space="preserve"> AEP's approach to new nuclear mirrors PNW's stated position — willing to explore but only if customers help finance and balance sheet is protected. </w:t>
      </w:r>
    </w:p>
    <w:p>
      <w:pPr>
        <w:pStyle w:val="Heading3"/>
      </w:pPr>
      <w:r>
        <w:rPr>
          <w:rFonts w:ascii="Calibri" w:hAnsi="Calibri"/>
          <w:b/>
          <w:color w:val="3B4259"/>
          <w:sz w:val="24"/>
        </w:rPr>
        <w:t>Southern Company (SO) — Q2 2026 Earnings Call (July 30, 2026)</w:t>
      </w:r>
    </w:p>
    <w:p>
      <w:r>
        <w:rPr>
          <w:rFonts w:ascii="Calibri" w:hAnsi="Calibri"/>
          <w:b/>
          <w:color w:val="525866"/>
          <w:sz w:val="22"/>
        </w:rPr>
        <w:t xml:space="preserve">Read-Through Relevance: </w:t>
      </w:r>
      <w:r>
        <w:rPr>
          <w:rFonts w:ascii="Calibri" w:hAnsi="Calibri"/>
          <w:color w:val="525866"/>
          <w:sz w:val="22"/>
        </w:rPr>
        <w:t>HIGH. SO's data center contracting pace (17 GW total, 6 GW in Q2 alone) and OpenAI contract are the most visible proof points of hyperscaler demand scale.</w:t>
      </w:r>
    </w:p>
    <w:p>
      <w:pPr>
        <w:pStyle w:val="ListBullet"/>
        <w:ind w:left="360" w:hanging="360"/>
      </w:pPr>
      <w:r>
        <w:rPr>
          <w:rFonts w:ascii="Calibri" w:hAnsi="Calibri"/>
          <w:b/>
          <w:color w:val="525866"/>
          <w:sz w:val="22"/>
        </w:rPr>
        <w:t>17 GW of contracted large-load agreements, 75 GW+ pipeline:</w:t>
      </w:r>
      <w:r>
        <w:rPr>
          <w:rFonts w:ascii="Calibri" w:hAnsi="Calibri"/>
          <w:b/>
          <w:color w:val="30A46C"/>
          <w:sz w:val="22"/>
        </w:rPr>
        <w:t xml:space="preserve"> SO signed a 3.2 GW, 25-year contract with OpenAI for a new site near Savannah, GA. Alabama Power added ~3 GW through three new contracts in Q2 alone. 8 GW more in late stages. </w:t>
      </w:r>
      <w:r>
        <w:rPr>
          <w:rFonts w:ascii="Calibri" w:hAnsi="Calibri"/>
          <w:color w:val="525866"/>
          <w:sz w:val="22"/>
        </w:rPr>
        <w:t>Read-through: The scale and pace of contracting validates PNW's 4.5 GW committed pipeline as conservative, not aggressive. The ~20 GW uncommitted queue has real conversion potential.</w:t>
      </w:r>
    </w:p>
    <w:p>
      <w:pPr>
        <w:pStyle w:val="ListBullet"/>
        <w:ind w:left="360" w:hanging="360"/>
      </w:pPr>
      <w:r>
        <w:rPr>
          <w:rFonts w:ascii="Calibri" w:hAnsi="Calibri"/>
          <w:b/>
          <w:color w:val="525866"/>
          <w:sz w:val="22"/>
        </w:rPr>
        <w:t>Data center usage +55% YoY in Q2:</w:t>
      </w:r>
      <w:r>
        <w:rPr>
          <w:rFonts w:ascii="Calibri" w:hAnsi="Calibri"/>
          <w:b/>
          <w:color w:val="30A46C"/>
          <w:sz w:val="22"/>
        </w:rPr>
        <w:t xml:space="preserve"> System-wide data center load now exceeds 1.2 GW, up 500+ MW YoY. Weather-normal commercial sales grew 7.4% in Q2, leading to 6% YTD growth. </w:t>
      </w:r>
      <w:r>
        <w:rPr>
          <w:rFonts w:ascii="Calibri" w:hAnsi="Calibri"/>
          <w:color w:val="525866"/>
          <w:sz w:val="22"/>
        </w:rPr>
        <w:t>Read-through: Directly analogous to PNW's C&amp;I growth story; validates that large-load ramp is translating into actual MWh consumption.</w:t>
      </w:r>
    </w:p>
    <w:p>
      <w:pPr>
        <w:pStyle w:val="ListBullet"/>
        <w:ind w:left="360" w:hanging="360"/>
      </w:pPr>
      <w:r>
        <w:rPr>
          <w:rFonts w:ascii="Calibri" w:hAnsi="Calibri"/>
          <w:b/>
          <w:color w:val="525866"/>
          <w:sz w:val="22"/>
        </w:rPr>
        <w:t>Retail base rates held stable in Georgia and Alabama until 2029:</w:t>
      </w:r>
      <w:r>
        <w:rPr>
          <w:rFonts w:ascii="Calibri" w:hAnsi="Calibri"/>
          <w:color w:val="525866"/>
          <w:sz w:val="22"/>
        </w:rPr>
        <w:t xml:space="preserve"> SO's approach to rate stability while absorbing large-load growth is a model for PNW's rate case strategy. $21B of collateral backing 17 GW of contracted demand. Read-through: Constructive regulatory framework for large-load growth is achievable; PNW's XHLF tariff and FRAM proposal are consistent with sector best practices. </w:t>
      </w:r>
    </w:p>
    <w:p>
      <w:pPr>
        <w:pStyle w:val="ListBullet"/>
        <w:ind w:left="360" w:hanging="360"/>
      </w:pPr>
      <w:r>
        <w:rPr>
          <w:rFonts w:ascii="Calibri" w:hAnsi="Calibri"/>
          <w:b/>
          <w:color w:val="525866"/>
          <w:sz w:val="22"/>
        </w:rPr>
        <w:t>Weather-normal retail sales +2.3% in H1 2026:</w:t>
      </w:r>
      <w:r>
        <w:rPr>
          <w:rFonts w:ascii="Calibri" w:hAnsi="Calibri"/>
          <w:b/>
          <w:color w:val="30A46C"/>
          <w:sz w:val="22"/>
        </w:rPr>
        <w:t xml:space="preserve"> Highest retail sales growth through June in nearly two decades. SO projects full-year 2026 adjusted EPS near or at the top of $4.50–$4.60 guidance. </w:t>
      </w:r>
    </w:p>
    <w:p>
      <w:pPr>
        <w:pStyle w:val="Heading3"/>
      </w:pPr>
      <w:r>
        <w:rPr>
          <w:rFonts w:ascii="Calibri" w:hAnsi="Calibri"/>
          <w:b/>
          <w:color w:val="3B4259"/>
          <w:sz w:val="24"/>
        </w:rPr>
        <w:t>Entergy (ETR) — Q2 2026 Earnings Call (July 29, 2026) &amp; Investor Day (June 9, 2026)</w:t>
      </w:r>
    </w:p>
    <w:p>
      <w:r>
        <w:rPr>
          <w:rFonts w:ascii="Calibri" w:hAnsi="Calibri"/>
          <w:b/>
          <w:color w:val="525866"/>
          <w:sz w:val="22"/>
        </w:rPr>
        <w:t xml:space="preserve">Read-Through Relevance: </w:t>
      </w:r>
      <w:r>
        <w:rPr>
          <w:rFonts w:ascii="Calibri" w:hAnsi="Calibri"/>
          <w:color w:val="525866"/>
          <w:sz w:val="22"/>
        </w:rPr>
        <w:t>HIGH. Entergy's 9% retail sales growth and doubling of ESA backlog is the closest sector analog to PNW's Arizona growth story.</w:t>
      </w:r>
    </w:p>
    <w:p>
      <w:pPr>
        <w:pStyle w:val="ListBullet"/>
        <w:ind w:left="360" w:hanging="360"/>
      </w:pPr>
      <w:r>
        <w:rPr>
          <w:rFonts w:ascii="Calibri" w:hAnsi="Calibri"/>
          <w:b/>
          <w:color w:val="525866"/>
          <w:sz w:val="22"/>
        </w:rPr>
        <w:t>9% retail sales growth, 16% industrial growth:</w:t>
      </w:r>
      <w:r>
        <w:rPr>
          <w:rFonts w:ascii="Calibri" w:hAnsi="Calibri"/>
          <w:b/>
          <w:color w:val="30A46C"/>
          <w:sz w:val="22"/>
        </w:rPr>
        <w:t xml:space="preserve"> Entergy's Investor Day (June 9) highlighted sales growth doubling to 9% from two years ago, driven by 16% industrial growth. Total retail sales expected to increase 50%+ over the forecast period. </w:t>
      </w:r>
      <w:r>
        <w:rPr>
          <w:rFonts w:ascii="Calibri" w:hAnsi="Calibri"/>
          <w:color w:val="525866"/>
          <w:sz w:val="22"/>
        </w:rPr>
        <w:t>Read-through: PNW's Q1 9.4% weather-normalized growth is not an outlier — it is consistent with what the best-positioned utilities are seeing. Validates the durability of PNW's 5–7% long-term guide.</w:t>
      </w:r>
    </w:p>
    <w:p>
      <w:pPr>
        <w:pStyle w:val="ListBullet"/>
        <w:ind w:left="360" w:hanging="360"/>
      </w:pPr>
      <w:r>
        <w:rPr>
          <w:rFonts w:ascii="Calibri" w:hAnsi="Calibri"/>
          <w:b/>
          <w:color w:val="525866"/>
          <w:sz w:val="22"/>
        </w:rPr>
        <w:t>7–12 GW hyperscale data center pipeline, 3–5 GW traditional industrial:</w:t>
      </w:r>
      <w:r>
        <w:rPr>
          <w:rFonts w:ascii="Calibri" w:hAnsi="Calibri"/>
          <w:b/>
          <w:color w:val="30A46C"/>
          <w:sz w:val="22"/>
        </w:rPr>
        <w:t xml:space="preserve"> ESA backlog nearly doubled in two years. Meta's 5 GW, $50B project in Louisiana is the largest single data center commitment in the sector. </w:t>
      </w:r>
      <w:r>
        <w:rPr>
          <w:rFonts w:ascii="Calibri" w:hAnsi="Calibri"/>
          <w:color w:val="525866"/>
          <w:sz w:val="22"/>
        </w:rPr>
        <w:t>Read-through: Validates PNW's ~20 GW uncommitted queue as a real opportunity, not speculative.</w:t>
      </w:r>
    </w:p>
    <w:p>
      <w:pPr>
        <w:pStyle w:val="ListBullet"/>
        <w:ind w:left="360" w:hanging="360"/>
      </w:pPr>
      <w:r>
        <w:rPr>
          <w:rFonts w:ascii="Calibri" w:hAnsi="Calibri"/>
          <w:b/>
          <w:color w:val="525866"/>
          <w:sz w:val="22"/>
        </w:rPr>
        <w:t>Q2 2026 adjusted EPS slightly below prior year due to weather normalization:</w:t>
      </w:r>
      <w:r>
        <w:rPr>
          <w:rFonts w:ascii="Calibri" w:hAnsi="Calibri"/>
          <w:b/>
          <w:color w:val="E5484D"/>
          <w:sz w:val="22"/>
        </w:rPr>
        <w:t xml:space="preserve"> ETR's Q2 was slightly lower YoY as weather was closer to normal vs. warmer 2025. Industrial sales growth of 10% excluding weather. </w:t>
      </w:r>
      <w:r>
        <w:rPr>
          <w:rFonts w:ascii="Calibri" w:hAnsi="Calibri"/>
          <w:color w:val="525866"/>
          <w:sz w:val="22"/>
        </w:rPr>
        <w:t>Read-through: Weather normalization is a sector-wide headwind in Q2 2026 vs. Q2 2025; PNW's Q2 consensus already reflects this (-14% YoY for Operating EPS).</w:t>
      </w:r>
    </w:p>
    <w:p>
      <w:pPr>
        <w:pStyle w:val="ListBullet"/>
        <w:ind w:left="360" w:hanging="360"/>
      </w:pPr>
      <w:r>
        <w:rPr>
          <w:rFonts w:ascii="Calibri" w:hAnsi="Calibri"/>
          <w:b/>
          <w:color w:val="525866"/>
          <w:sz w:val="22"/>
        </w:rPr>
        <w:t>Louisiana governor's executive order on data centers:</w:t>
      </w:r>
      <w:r>
        <w:rPr>
          <w:rFonts w:ascii="Calibri" w:hAnsi="Calibri"/>
          <w:color w:val="525866"/>
          <w:sz w:val="22"/>
        </w:rPr>
        <w:t xml:space="preserve"> Requires data centers to provide customer benefits, invest in grid resilience, and maintain transparency. Consistent with ETR's 'Fair Share Plus' pledge. Read-through: Regulatory frameworks for large-load are advancing across the Sun Belt; Arizona's ACC data center rate classification inquiry is part of the same national trend. </w:t>
      </w:r>
    </w:p>
    <w:p>
      <w:pPr>
        <w:pStyle w:val="ListBullet"/>
        <w:ind w:left="360" w:hanging="360"/>
      </w:pPr>
      <w:r>
        <w:rPr>
          <w:rFonts w:ascii="Calibri" w:hAnsi="Calibri"/>
          <w:b/>
          <w:color w:val="525866"/>
          <w:sz w:val="22"/>
        </w:rPr>
        <w:t>Affirmed &gt;8% EPS growth through 2030:</w:t>
      </w:r>
      <w:r>
        <w:rPr>
          <w:rFonts w:ascii="Calibri" w:hAnsi="Calibri"/>
          <w:color w:val="525866"/>
          <w:sz w:val="22"/>
        </w:rPr>
        <w:t xml:space="preserve"> ETR reaffirmed its long-term EPS growth outlook. Read-through: Sector-wide confidence in utility earnings growth driven by large-load investment. </w:t>
      </w:r>
    </w:p>
    <w:p>
      <w:pPr>
        <w:pStyle w:val="Heading3"/>
      </w:pPr>
      <w:r>
        <w:rPr>
          <w:rFonts w:ascii="Calibri" w:hAnsi="Calibri"/>
          <w:b/>
          <w:color w:val="3B4259"/>
          <w:sz w:val="24"/>
        </w:rPr>
        <w:t>Exelon (EXC) — Q2 2026 Earnings Call (July 30, 2026)</w:t>
      </w:r>
    </w:p>
    <w:p>
      <w:r>
        <w:rPr>
          <w:rFonts w:ascii="Calibri" w:hAnsi="Calibri"/>
          <w:b/>
          <w:color w:val="525866"/>
          <w:sz w:val="22"/>
        </w:rPr>
        <w:t xml:space="preserve">Read-Through Relevance: </w:t>
      </w:r>
      <w:r>
        <w:rPr>
          <w:rFonts w:ascii="Calibri" w:hAnsi="Calibri"/>
          <w:color w:val="525866"/>
          <w:sz w:val="22"/>
        </w:rPr>
        <w:t>MODERATE. EXC's disciplined approach to data center pipeline quality (filtering speculative projects) and PJM capacity stress are relevant context for PNW's grid reliability positioning.</w:t>
      </w:r>
    </w:p>
    <w:p>
      <w:pPr>
        <w:pStyle w:val="ListBullet"/>
        <w:ind w:left="360" w:hanging="360"/>
      </w:pPr>
      <w:r>
        <w:rPr>
          <w:rFonts w:ascii="Calibri" w:hAnsi="Calibri"/>
          <w:b/>
          <w:color w:val="525866"/>
          <w:sz w:val="22"/>
        </w:rPr>
        <w:t>Data center pipeline reduced to 36 GW from 43 GW after filtering speculative projects:</w:t>
      </w:r>
      <w:r>
        <w:rPr>
          <w:rFonts w:ascii="Calibri" w:hAnsi="Calibri"/>
          <w:b/>
          <w:color w:val="002FA7"/>
          <w:sz w:val="22"/>
        </w:rPr>
        <w:t xml:space="preserve"> EXC implemented Transmission Security Agreements (TSAs) requiring financial commitments before system investments. 4 GW of high-probability projects backed by $1B of collateral. </w:t>
      </w:r>
      <w:r>
        <w:rPr>
          <w:rFonts w:ascii="Calibri" w:hAnsi="Calibri"/>
          <w:color w:val="525866"/>
          <w:sz w:val="22"/>
        </w:rPr>
        <w:t>Read-through: Quality over quantity in large-load contracting is the emerging sector standard. PNW's subscription model with financial commitments is aligned with this approach.</w:t>
      </w:r>
    </w:p>
    <w:p>
      <w:pPr>
        <w:pStyle w:val="ListBullet"/>
        <w:ind w:left="360" w:hanging="360"/>
      </w:pPr>
      <w:r>
        <w:rPr>
          <w:rFonts w:ascii="Calibri" w:hAnsi="Calibri"/>
          <w:b/>
          <w:color w:val="525866"/>
          <w:sz w:val="22"/>
        </w:rPr>
        <w:t>PJM demand hit record 168 GW peak in July; market fell short by 6.8 GW:</w:t>
      </w:r>
      <w:r>
        <w:rPr>
          <w:rFonts w:ascii="Calibri" w:hAnsi="Calibri"/>
          <w:b/>
          <w:color w:val="E5484D"/>
          <w:sz w:val="22"/>
        </w:rPr>
        <w:t xml:space="preserve"> Power prices surged 10x from ~$80 to ~$800/MWh during the July heat event. Demand growing faster than supply. </w:t>
      </w:r>
      <w:r>
        <w:rPr>
          <w:rFonts w:ascii="Calibri" w:hAnsi="Calibri"/>
          <w:color w:val="525866"/>
          <w:sz w:val="22"/>
        </w:rPr>
        <w:t>Read-through: Grid reliability stress is a national issue; PNW's Arizona market (summer peak demand) faces similar dynamics, supporting the urgency of the Redhawk and Desert Sun generation projects.</w:t>
      </w:r>
    </w:p>
    <w:p>
      <w:pPr>
        <w:pStyle w:val="ListBullet"/>
        <w:ind w:left="360" w:hanging="360"/>
      </w:pPr>
      <w:r>
        <w:rPr>
          <w:rFonts w:ascii="Calibri" w:hAnsi="Calibri"/>
          <w:b/>
          <w:color w:val="525866"/>
          <w:sz w:val="22"/>
        </w:rPr>
        <w:t>Q2 2026 adjusted EPS $0.43, +$0.04 YoY; full-year guidance $2.81–$2.91 reaffirmed:</w:t>
      </w:r>
      <w:r>
        <w:rPr>
          <w:rFonts w:ascii="Calibri" w:hAnsi="Calibri"/>
          <w:color w:val="525866"/>
          <w:sz w:val="22"/>
        </w:rPr>
        <w:t xml:space="preserve"> Consistent execution. Read-through: Neutral; EXC's transmission-heavy model is less directly comparable to PNW's vertically integrated structure. </w:t>
      </w:r>
    </w:p>
    <w:p>
      <w:pPr>
        <w:pStyle w:val="ListBullet"/>
        <w:ind w:left="360" w:hanging="360"/>
      </w:pPr>
      <w:r>
        <w:rPr>
          <w:rFonts w:ascii="Calibri" w:hAnsi="Calibri"/>
          <w:b/>
          <w:color w:val="525866"/>
          <w:sz w:val="22"/>
        </w:rPr>
        <w:t>ComEd experienced 16 major weather events in 2026, most in over two decades:</w:t>
      </w:r>
      <w:r>
        <w:rPr>
          <w:rFonts w:ascii="Calibri" w:hAnsi="Calibri"/>
          <w:color w:val="525866"/>
          <w:sz w:val="22"/>
        </w:rPr>
        <w:t xml:space="preserve"> Grid resilience investment is critical. Read-through: Validates PNW's focus on reliability investment and the urgency of the Redhawk expansion to ensure summer reliability in Arizona. </w:t>
      </w:r>
    </w:p>
    <w:p>
      <w:pPr>
        <w:pStyle w:val="Heading3"/>
      </w:pPr>
      <w:r>
        <w:rPr>
          <w:rFonts w:ascii="Calibri" w:hAnsi="Calibri"/>
          <w:b/>
          <w:color w:val="3B4259"/>
          <w:sz w:val="24"/>
        </w:rPr>
        <w:t>WEC Energy Group (WEC) — Q2 2026 Earnings Call (July 29, 2026)</w:t>
      </w:r>
    </w:p>
    <w:p>
      <w:r>
        <w:rPr>
          <w:rFonts w:ascii="Calibri" w:hAnsi="Calibri"/>
          <w:b/>
          <w:color w:val="525866"/>
          <w:sz w:val="22"/>
        </w:rPr>
        <w:t xml:space="preserve">Read-Through Relevance: </w:t>
      </w:r>
      <w:r>
        <w:rPr>
          <w:rFonts w:ascii="Calibri" w:hAnsi="Calibri"/>
          <w:color w:val="525866"/>
          <w:sz w:val="22"/>
        </w:rPr>
        <w:t>MODERATE. WEC's Microsoft/Oracle data center ramp and VLC tariff execution provide a template for PNW's subscription model.</w:t>
      </w:r>
    </w:p>
    <w:p>
      <w:pPr>
        <w:pStyle w:val="ListBullet"/>
        <w:ind w:left="360" w:hanging="360"/>
      </w:pPr>
      <w:r>
        <w:rPr>
          <w:rFonts w:ascii="Calibri" w:hAnsi="Calibri"/>
          <w:b/>
          <w:color w:val="525866"/>
          <w:sz w:val="22"/>
        </w:rPr>
        <w:t>Weather-normal electric retail sales +4.2% driven by very large customers (VLCs):</w:t>
      </w:r>
      <w:r>
        <w:rPr>
          <w:rFonts w:ascii="Calibri" w:hAnsi="Calibri"/>
          <w:b/>
          <w:color w:val="30A46C"/>
          <w:sz w:val="22"/>
        </w:rPr>
        <w:t xml:space="preserve"> Microsoft site fully operational; Vantage/Oracle site under construction with 1.3 GW forecast through 2030 (potential 3.5 GW). </w:t>
      </w:r>
      <w:r>
        <w:rPr>
          <w:rFonts w:ascii="Calibri" w:hAnsi="Calibri"/>
          <w:color w:val="525866"/>
          <w:sz w:val="22"/>
        </w:rPr>
        <w:t>Read-through: Large-load ramp is translating into real MWh growth; validates PNW's C&amp;I growth trajectory.</w:t>
      </w:r>
    </w:p>
    <w:p>
      <w:pPr>
        <w:pStyle w:val="ListBullet"/>
        <w:ind w:left="360" w:hanging="360"/>
      </w:pPr>
      <w:r>
        <w:rPr>
          <w:rFonts w:ascii="Calibri" w:hAnsi="Calibri"/>
          <w:b/>
          <w:color w:val="525866"/>
          <w:sz w:val="22"/>
        </w:rPr>
        <w:t>VLC tariff approved by Wisconsin PSC in May:</w:t>
      </w:r>
      <w:r>
        <w:rPr>
          <w:rFonts w:ascii="Calibri" w:hAnsi="Calibri"/>
          <w:b/>
          <w:color w:val="30A46C"/>
          <w:sz w:val="22"/>
        </w:rPr>
        <w:t xml:space="preserve"> Requires VLCs to pay full share of costs; A- credit requirement. Oracle working to provide required credit support. </w:t>
      </w:r>
      <w:r>
        <w:rPr>
          <w:rFonts w:ascii="Calibri" w:hAnsi="Calibri"/>
          <w:color w:val="525866"/>
          <w:sz w:val="22"/>
        </w:rPr>
        <w:t>Read-through: Regulatory approval of large-load tariffs is achievable; PNW's XHLF tariff update in the rate case has sector precedent.</w:t>
      </w:r>
    </w:p>
    <w:p>
      <w:pPr>
        <w:pStyle w:val="ListBullet"/>
        <w:ind w:left="360" w:hanging="360"/>
      </w:pPr>
      <w:r>
        <w:rPr>
          <w:rFonts w:ascii="Calibri" w:hAnsi="Calibri"/>
          <w:b/>
          <w:color w:val="525866"/>
          <w:sz w:val="22"/>
        </w:rPr>
        <w:t>Q2 2026 EPS $0.91, +$0.15 YoY; 2026 guidance $5.51–$5.61 on track:</w:t>
      </w:r>
      <w:r>
        <w:rPr>
          <w:rFonts w:ascii="Calibri" w:hAnsi="Calibri"/>
          <w:color w:val="525866"/>
          <w:sz w:val="22"/>
        </w:rPr>
        <w:t xml:space="preserve"> Weather was a $0.05 headwind vs. normal. Read-through: Weather normalization is a sector-wide Q2 headwind; PNW's Q2 consensus already reflects this. </w:t>
      </w:r>
    </w:p>
    <w:p>
      <w:pPr>
        <w:pStyle w:val="ListBullet"/>
        <w:ind w:left="360" w:hanging="360"/>
      </w:pPr>
      <w:r>
        <w:rPr>
          <w:rFonts w:ascii="Calibri" w:hAnsi="Calibri"/>
          <w:b/>
          <w:color w:val="525866"/>
          <w:sz w:val="22"/>
        </w:rPr>
        <w:t>~$100M in customer savings from data center cost allocations over next two years:</w:t>
      </w:r>
      <w:r>
        <w:rPr>
          <w:rFonts w:ascii="Calibri" w:hAnsi="Calibri"/>
          <w:color w:val="525866"/>
          <w:sz w:val="22"/>
        </w:rPr>
        <w:t xml:space="preserve"> Data centers are lowering bills for existing customers. Read-through: Validates PNW's 'growth pays for growth' principle and the customer affordability argument for the rate case. </w:t>
      </w:r>
    </w:p>
    <w:p>
      <w:pPr>
        <w:pStyle w:val="Heading3"/>
      </w:pPr>
      <w:r>
        <w:rPr>
          <w:rFonts w:ascii="Calibri" w:hAnsi="Calibri"/>
          <w:b/>
          <w:color w:val="3B4259"/>
          <w:sz w:val="24"/>
        </w:rPr>
        <w:t>PG&amp;E (PCG) — Q2 2026 Earnings Call (July 23, 2026)</w:t>
      </w:r>
    </w:p>
    <w:p>
      <w:r>
        <w:rPr>
          <w:rFonts w:ascii="Calibri" w:hAnsi="Calibri"/>
          <w:b/>
          <w:color w:val="525866"/>
          <w:sz w:val="22"/>
        </w:rPr>
        <w:t xml:space="preserve">Read-Through Relevance: </w:t>
      </w:r>
      <w:r>
        <w:rPr>
          <w:rFonts w:ascii="Calibri" w:hAnsi="Calibri"/>
          <w:color w:val="525866"/>
          <w:sz w:val="22"/>
        </w:rPr>
        <w:t>LOW-MODERATE. PCG's data center pipeline (12 GW) and GRC process are less directly comparable to PNW's Arizona market, but the large-load tariff framework discussion is relevant.</w:t>
      </w:r>
    </w:p>
    <w:p>
      <w:pPr>
        <w:pStyle w:val="ListBullet"/>
        <w:ind w:left="360" w:hanging="360"/>
      </w:pPr>
      <w:r>
        <w:rPr>
          <w:rFonts w:ascii="Calibri" w:hAnsi="Calibri"/>
          <w:b/>
          <w:color w:val="525866"/>
          <w:sz w:val="22"/>
        </w:rPr>
        <w:t>Data center pipeline now 12 GW, 1.8 GW expected online by 2030:</w:t>
      </w:r>
      <w:r>
        <w:rPr>
          <w:rFonts w:ascii="Calibri" w:hAnsi="Calibri"/>
          <w:b/>
          <w:color w:val="002FA7"/>
          <w:sz w:val="22"/>
        </w:rPr>
        <w:t xml:space="preserve"> PCG raised the threshold for pipeline inclusion, requiring signed work performance agreements and ~10% financial commitment. </w:t>
      </w:r>
      <w:r>
        <w:rPr>
          <w:rFonts w:ascii="Calibri" w:hAnsi="Calibri"/>
          <w:color w:val="525866"/>
          <w:sz w:val="22"/>
        </w:rPr>
        <w:t>Read-through: Quality filtering of large-load pipeline is a sector-wide trend; PNW's subscription model with financial commitments is consistent.</w:t>
      </w:r>
    </w:p>
    <w:p>
      <w:pPr>
        <w:pStyle w:val="ListBullet"/>
        <w:ind w:left="360" w:hanging="360"/>
      </w:pPr>
      <w:r>
        <w:rPr>
          <w:rFonts w:ascii="Calibri" w:hAnsi="Calibri"/>
          <w:b/>
          <w:color w:val="525866"/>
          <w:sz w:val="22"/>
        </w:rPr>
        <w:t>Q2 2026 core EPS $0.40; full-year guidance $1.64–$1.66 reaffirmed:</w:t>
      </w:r>
      <w:r>
        <w:rPr>
          <w:rFonts w:ascii="Calibri" w:hAnsi="Calibri"/>
          <w:color w:val="525866"/>
          <w:sz w:val="22"/>
        </w:rPr>
        <w:t xml:space="preserve"> On track for 5th consecutive year of double-digit earnings growth. Read-through: Neutral; PCG's California regulatory environment is less favorable than Arizona. </w:t>
      </w:r>
    </w:p>
    <w:p>
      <w:pPr>
        <w:pStyle w:val="ListBullet"/>
        <w:ind w:left="360" w:hanging="360"/>
      </w:pPr>
      <w:r>
        <w:rPr>
          <w:rFonts w:ascii="Calibri" w:hAnsi="Calibri"/>
          <w:b/>
          <w:color w:val="525866"/>
          <w:sz w:val="22"/>
        </w:rPr>
        <w:t>FERC Section 206 response due next month:</w:t>
      </w:r>
      <w:r>
        <w:rPr>
          <w:rFonts w:ascii="Calibri" w:hAnsi="Calibri"/>
          <w:color w:val="525866"/>
          <w:sz w:val="22"/>
        </w:rPr>
        <w:t xml:space="preserve"> PCG collaborating with CAISO on response. Read-through: FERC's large-load framework is evolving nationally; PNW's XHLF tariff update is ahead of the curve. </w:t>
      </w:r>
    </w:p>
    <w:p>
      <w:pPr>
        <w:pStyle w:val="Heading3"/>
      </w:pPr>
      <w:r>
        <w:rPr>
          <w:rFonts w:ascii="Calibri" w:hAnsi="Calibri"/>
          <w:b/>
          <w:color w:val="3B4259"/>
          <w:sz w:val="24"/>
        </w:rPr>
        <w:t>AEP — Q1 2026 Earnings Call (May 5, 2026) — Post-Q1 Commentary on Q2 Outlook</w:t>
      </w:r>
    </w:p>
    <w:p>
      <w:r>
        <w:rPr>
          <w:rFonts w:ascii="Calibri" w:hAnsi="Calibri"/>
          <w:b/>
          <w:color w:val="525866"/>
          <w:sz w:val="22"/>
        </w:rPr>
        <w:t xml:space="preserve">Read-Through Relevance: </w:t>
      </w:r>
      <w:r>
        <w:rPr>
          <w:rFonts w:ascii="Calibri" w:hAnsi="Calibri"/>
          <w:color w:val="525866"/>
          <w:sz w:val="22"/>
        </w:rPr>
        <w:t>MODERATE. AEP's Q1 call (just after PNW's Q1 print) provided early-quarter commentary on the large-load demand environment relevant to Q2 2026.</w:t>
      </w:r>
    </w:p>
    <w:p>
      <w:pPr>
        <w:pStyle w:val="ListBullet"/>
        <w:ind w:left="360" w:hanging="360"/>
      </w:pPr>
      <w:r>
        <w:rPr>
          <w:rFonts w:ascii="Calibri" w:hAnsi="Calibri"/>
          <w:b/>
          <w:color w:val="525866"/>
          <w:sz w:val="22"/>
        </w:rPr>
        <w:t>63 GW of contracted load at Q1 call (now 69 GW at Q2):</w:t>
      </w:r>
      <w:r>
        <w:rPr>
          <w:rFonts w:ascii="Calibri" w:hAnsi="Calibri"/>
          <w:color w:val="525866"/>
          <w:sz w:val="22"/>
        </w:rPr>
        <w:t xml:space="preserve"> The 6 GW increase in one quarter demonstrates the pace of contracting acceleration. Read-through: PNW's subscription model negotiations are occurring in an environment of rapidly accelerating demand. </w:t>
      </w:r>
    </w:p>
    <w:p>
      <w:pPr>
        <w:pStyle w:val="ListBullet"/>
        <w:ind w:left="360" w:hanging="360"/>
      </w:pPr>
      <w:r>
        <w:rPr>
          <w:rFonts w:ascii="Calibri" w:hAnsi="Calibri"/>
          <w:b/>
          <w:color w:val="525866"/>
          <w:sz w:val="22"/>
        </w:rPr>
        <w:t>DUK Q1 2026 call (May 5):</w:t>
      </w:r>
      <w:r>
        <w:rPr>
          <w:rFonts w:ascii="Calibri" w:hAnsi="Calibri"/>
          <w:color w:val="525866"/>
          <w:sz w:val="22"/>
        </w:rPr>
        <w:t xml:space="preserve"> Duke Energy's Q1 commentary on large-load growth in the Carolinas and Indiana was broadly constructive, with data center demand accelerating. Read-through: Sector-wide validation of the large-load theme heading into Q2. </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Call Date</w:t>
            </w:r>
          </w:p>
        </w:tc>
        <w:tc>
          <w:tcPr>
            <w:tcW w:type="dxa" w:w="2160"/>
            <w:shd w:val="clear" w:color="auto" w:fill="3B4259"/>
          </w:tcPr>
          <w:p>
            <w:r>
              <w:rPr>
                <w:rFonts w:ascii="Calibri" w:hAnsi="Calibri"/>
                <w:b/>
                <w:color w:val="FFFFFF"/>
                <w:sz w:val="22"/>
              </w:rPr>
              <w:t>Key Read-Through for PNW</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Southern Company (SO)</w:t>
            </w:r>
          </w:p>
        </w:tc>
        <w:tc>
          <w:tcPr>
            <w:tcW w:type="dxa" w:w="2160"/>
          </w:tcPr>
          <w:p>
            <w:r>
              <w:rPr>
                <w:rFonts w:ascii="Calibri" w:hAnsi="Calibri"/>
                <w:sz w:val="22"/>
              </w:rPr>
              <w:t>Jul 30, 2026</w:t>
            </w:r>
          </w:p>
        </w:tc>
        <w:tc>
          <w:tcPr>
            <w:tcW w:type="dxa" w:w="2160"/>
          </w:tcPr>
          <w:p>
            <w:r>
              <w:rPr>
                <w:rFonts w:ascii="Calibri" w:hAnsi="Calibri"/>
                <w:sz w:val="22"/>
              </w:rPr>
              <w:t>17 GW contracted, 75 GW+ pipeline; data center usage +55% YoY; validates PNW's large-load pipeline scale</w:t>
            </w:r>
          </w:p>
        </w:tc>
        <w:tc>
          <w:tcPr>
            <w:tcW w:type="dxa" w:w="2160"/>
          </w:tcPr>
          <w:p>
            <w:r>
              <w:rPr>
                <w:rFonts w:ascii="Calibri" w:hAnsi="Calibri"/>
                <w:b/>
                <w:color w:val="30A46C"/>
                <w:sz w:val="22"/>
              </w:rPr>
              <w:t>Positive</w:t>
            </w:r>
          </w:p>
        </w:tc>
      </w:tr>
      <w:tr>
        <w:tc>
          <w:tcPr>
            <w:tcW w:type="dxa" w:w="2160"/>
          </w:tcPr>
          <w:p>
            <w:r>
              <w:rPr>
                <w:rFonts w:ascii="Calibri" w:hAnsi="Calibri"/>
                <w:sz w:val="22"/>
              </w:rPr>
              <w:t>AEP</w:t>
            </w:r>
          </w:p>
        </w:tc>
        <w:tc>
          <w:tcPr>
            <w:tcW w:type="dxa" w:w="2160"/>
          </w:tcPr>
          <w:p>
            <w:r>
              <w:rPr>
                <w:rFonts w:ascii="Calibri" w:hAnsi="Calibri"/>
                <w:sz w:val="22"/>
              </w:rPr>
              <w:t>Jul 30, 2026</w:t>
            </w:r>
          </w:p>
        </w:tc>
        <w:tc>
          <w:tcPr>
            <w:tcW w:type="dxa" w:w="2160"/>
          </w:tcPr>
          <w:p>
            <w:r>
              <w:rPr>
                <w:rFonts w:ascii="Calibri" w:hAnsi="Calibri"/>
                <w:sz w:val="22"/>
              </w:rPr>
              <w:t>69 GW contracted load, $2B collateral collected; raised 2026 EPS guidance; validates demand durability</w:t>
            </w:r>
          </w:p>
        </w:tc>
        <w:tc>
          <w:tcPr>
            <w:tcW w:type="dxa" w:w="2160"/>
          </w:tcPr>
          <w:p>
            <w:r>
              <w:rPr>
                <w:rFonts w:ascii="Calibri" w:hAnsi="Calibri"/>
                <w:b/>
                <w:color w:val="30A46C"/>
                <w:sz w:val="22"/>
              </w:rPr>
              <w:t>Positive</w:t>
            </w:r>
          </w:p>
        </w:tc>
      </w:tr>
      <w:tr>
        <w:tc>
          <w:tcPr>
            <w:tcW w:type="dxa" w:w="2160"/>
          </w:tcPr>
          <w:p>
            <w:r>
              <w:rPr>
                <w:rFonts w:ascii="Calibri" w:hAnsi="Calibri"/>
                <w:sz w:val="22"/>
              </w:rPr>
              <w:t>Xcel Energy (XEL)</w:t>
            </w:r>
          </w:p>
        </w:tc>
        <w:tc>
          <w:tcPr>
            <w:tcW w:type="dxa" w:w="2160"/>
          </w:tcPr>
          <w:p>
            <w:r>
              <w:rPr>
                <w:rFonts w:ascii="Calibri" w:hAnsi="Calibri"/>
                <w:sz w:val="22"/>
              </w:rPr>
              <w:t>Jul 30, 2026</w:t>
            </w:r>
          </w:p>
        </w:tc>
        <w:tc>
          <w:tcPr>
            <w:tcW w:type="dxa" w:w="2160"/>
          </w:tcPr>
          <w:p>
            <w:r>
              <w:rPr>
                <w:rFonts w:ascii="Calibri" w:hAnsi="Calibri"/>
                <w:sz w:val="22"/>
              </w:rPr>
              <w:t>Large-load tariffs approved in MN, filed in CO/WI; $5–6B CapEx per GW of data center; validates XHLF tariff update</w:t>
            </w:r>
          </w:p>
        </w:tc>
        <w:tc>
          <w:tcPr>
            <w:tcW w:type="dxa" w:w="2160"/>
          </w:tcPr>
          <w:p>
            <w:r>
              <w:rPr>
                <w:rFonts w:ascii="Calibri" w:hAnsi="Calibri"/>
                <w:b/>
                <w:color w:val="30A46C"/>
                <w:sz w:val="22"/>
              </w:rPr>
              <w:t>Positive</w:t>
            </w:r>
          </w:p>
        </w:tc>
      </w:tr>
      <w:tr>
        <w:tc>
          <w:tcPr>
            <w:tcW w:type="dxa" w:w="2160"/>
          </w:tcPr>
          <w:p>
            <w:r>
              <w:rPr>
                <w:rFonts w:ascii="Calibri" w:hAnsi="Calibri"/>
                <w:sz w:val="22"/>
              </w:rPr>
              <w:t>Entergy (ETR)</w:t>
            </w:r>
          </w:p>
        </w:tc>
        <w:tc>
          <w:tcPr>
            <w:tcW w:type="dxa" w:w="2160"/>
          </w:tcPr>
          <w:p>
            <w:r>
              <w:rPr>
                <w:rFonts w:ascii="Calibri" w:hAnsi="Calibri"/>
                <w:sz w:val="22"/>
              </w:rPr>
              <w:t>Jul 29, 2026</w:t>
            </w:r>
          </w:p>
        </w:tc>
        <w:tc>
          <w:tcPr>
            <w:tcW w:type="dxa" w:w="2160"/>
          </w:tcPr>
          <w:p>
            <w:r>
              <w:rPr>
                <w:rFonts w:ascii="Calibri" w:hAnsi="Calibri"/>
                <w:sz w:val="22"/>
              </w:rPr>
              <w:t>Q2 EPS slightly below YoY on weather normalization; 10% industrial sales growth ex-weather; validates weather headwind in Q2</w:t>
            </w:r>
          </w:p>
        </w:tc>
        <w:tc>
          <w:tcPr>
            <w:tcW w:type="dxa" w:w="2160"/>
          </w:tcPr>
          <w:p>
            <w:r>
              <w:rPr>
                <w:rFonts w:ascii="Calibri" w:hAnsi="Calibri"/>
                <w:sz w:val="22"/>
              </w:rPr>
              <w:t>Neutral/Mixed</w:t>
            </w:r>
          </w:p>
        </w:tc>
      </w:tr>
      <w:tr>
        <w:tc>
          <w:tcPr>
            <w:tcW w:type="dxa" w:w="2160"/>
          </w:tcPr>
          <w:p>
            <w:r>
              <w:rPr>
                <w:rFonts w:ascii="Calibri" w:hAnsi="Calibri"/>
                <w:sz w:val="22"/>
              </w:rPr>
              <w:t>Entergy Investor Day</w:t>
            </w:r>
          </w:p>
        </w:tc>
        <w:tc>
          <w:tcPr>
            <w:tcW w:type="dxa" w:w="2160"/>
          </w:tcPr>
          <w:p>
            <w:r>
              <w:rPr>
                <w:rFonts w:ascii="Calibri" w:hAnsi="Calibri"/>
                <w:sz w:val="22"/>
              </w:rPr>
              <w:t>Jun 9, 2026</w:t>
            </w:r>
          </w:p>
        </w:tc>
        <w:tc>
          <w:tcPr>
            <w:tcW w:type="dxa" w:w="2160"/>
          </w:tcPr>
          <w:p>
            <w:r>
              <w:rPr>
                <w:rFonts w:ascii="Calibri" w:hAnsi="Calibri"/>
                <w:sz w:val="22"/>
              </w:rPr>
              <w:t>9% retail sales growth, 16% industrial growth; ESA backlog doubled; closest sector analog to PNW's Arizona story</w:t>
            </w:r>
          </w:p>
        </w:tc>
        <w:tc>
          <w:tcPr>
            <w:tcW w:type="dxa" w:w="2160"/>
          </w:tcPr>
          <w:p>
            <w:r>
              <w:rPr>
                <w:rFonts w:ascii="Calibri" w:hAnsi="Calibri"/>
                <w:b/>
                <w:color w:val="30A46C"/>
                <w:sz w:val="22"/>
              </w:rPr>
              <w:t>Positive</w:t>
            </w:r>
          </w:p>
        </w:tc>
      </w:tr>
      <w:tr>
        <w:tc>
          <w:tcPr>
            <w:tcW w:type="dxa" w:w="2160"/>
          </w:tcPr>
          <w:p>
            <w:r>
              <w:rPr>
                <w:rFonts w:ascii="Calibri" w:hAnsi="Calibri"/>
                <w:sz w:val="22"/>
              </w:rPr>
              <w:t>NextEra Energy (NEE)</w:t>
            </w:r>
          </w:p>
        </w:tc>
        <w:tc>
          <w:tcPr>
            <w:tcW w:type="dxa" w:w="2160"/>
          </w:tcPr>
          <w:p>
            <w:r>
              <w:rPr>
                <w:rFonts w:ascii="Calibri" w:hAnsi="Calibri"/>
                <w:sz w:val="22"/>
              </w:rPr>
              <w:t>Jul 24, 2026</w:t>
            </w:r>
          </w:p>
        </w:tc>
        <w:tc>
          <w:tcPr>
            <w:tcW w:type="dxa" w:w="2160"/>
          </w:tcPr>
          <w:p>
            <w:r>
              <w:rPr>
                <w:rFonts w:ascii="Calibri" w:hAnsi="Calibri"/>
                <w:sz w:val="22"/>
              </w:rPr>
              <w:t>FPL large-load raised to 8 GW by 2032; FL governor codified tariff into law; FERC 206 orders seen as positive</w:t>
            </w:r>
          </w:p>
        </w:tc>
        <w:tc>
          <w:tcPr>
            <w:tcW w:type="dxa" w:w="2160"/>
          </w:tcPr>
          <w:p>
            <w:r>
              <w:rPr>
                <w:rFonts w:ascii="Calibri" w:hAnsi="Calibri"/>
                <w:b/>
                <w:color w:val="30A46C"/>
                <w:sz w:val="22"/>
              </w:rPr>
              <w:t>Positive</w:t>
            </w:r>
          </w:p>
        </w:tc>
      </w:tr>
      <w:tr>
        <w:tc>
          <w:tcPr>
            <w:tcW w:type="dxa" w:w="2160"/>
          </w:tcPr>
          <w:p>
            <w:r>
              <w:rPr>
                <w:rFonts w:ascii="Calibri" w:hAnsi="Calibri"/>
                <w:sz w:val="22"/>
              </w:rPr>
              <w:t>WEC Energy (WEC)</w:t>
            </w:r>
          </w:p>
        </w:tc>
        <w:tc>
          <w:tcPr>
            <w:tcW w:type="dxa" w:w="2160"/>
          </w:tcPr>
          <w:p>
            <w:r>
              <w:rPr>
                <w:rFonts w:ascii="Calibri" w:hAnsi="Calibri"/>
                <w:sz w:val="22"/>
              </w:rPr>
              <w:t>Jul 29, 2026</w:t>
            </w:r>
          </w:p>
        </w:tc>
        <w:tc>
          <w:tcPr>
            <w:tcW w:type="dxa" w:w="2160"/>
          </w:tcPr>
          <w:p>
            <w:r>
              <w:rPr>
                <w:rFonts w:ascii="Calibri" w:hAnsi="Calibri"/>
                <w:sz w:val="22"/>
              </w:rPr>
              <w:t>VLC tariff approved; weather-normal sales +4.2%; $100M customer savings from data center cost allocation</w:t>
            </w:r>
          </w:p>
        </w:tc>
        <w:tc>
          <w:tcPr>
            <w:tcW w:type="dxa" w:w="2160"/>
          </w:tcPr>
          <w:p>
            <w:r>
              <w:rPr>
                <w:rFonts w:ascii="Calibri" w:hAnsi="Calibri"/>
                <w:b/>
                <w:color w:val="30A46C"/>
                <w:sz w:val="22"/>
              </w:rPr>
              <w:t>Positive</w:t>
            </w:r>
          </w:p>
        </w:tc>
      </w:tr>
      <w:tr>
        <w:tc>
          <w:tcPr>
            <w:tcW w:type="dxa" w:w="2160"/>
          </w:tcPr>
          <w:p>
            <w:r>
              <w:rPr>
                <w:rFonts w:ascii="Calibri" w:hAnsi="Calibri"/>
                <w:sz w:val="22"/>
              </w:rPr>
              <w:t>Exelon (EXC)</w:t>
            </w:r>
          </w:p>
        </w:tc>
        <w:tc>
          <w:tcPr>
            <w:tcW w:type="dxa" w:w="2160"/>
          </w:tcPr>
          <w:p>
            <w:r>
              <w:rPr>
                <w:rFonts w:ascii="Calibri" w:hAnsi="Calibri"/>
                <w:sz w:val="22"/>
              </w:rPr>
              <w:t>Jul 30, 2026</w:t>
            </w:r>
          </w:p>
        </w:tc>
        <w:tc>
          <w:tcPr>
            <w:tcW w:type="dxa" w:w="2160"/>
          </w:tcPr>
          <w:p>
            <w:r>
              <w:rPr>
                <w:rFonts w:ascii="Calibri" w:hAnsi="Calibri"/>
                <w:sz w:val="22"/>
              </w:rPr>
              <w:t>Pipeline quality filtering (TSAs); PJM hit record 168 GW demand; grid reliability stress validates PNW's generation investment urgency</w:t>
            </w:r>
          </w:p>
        </w:tc>
        <w:tc>
          <w:tcPr>
            <w:tcW w:type="dxa" w:w="2160"/>
          </w:tcPr>
          <w:p>
            <w:r>
              <w:rPr>
                <w:rFonts w:ascii="Calibri" w:hAnsi="Calibri"/>
                <w:sz w:val="22"/>
              </w:rPr>
              <w:t>Neutral/Mixed</w:t>
            </w:r>
          </w:p>
        </w:tc>
      </w:tr>
      <w:tr>
        <w:tc>
          <w:tcPr>
            <w:tcW w:type="dxa" w:w="2160"/>
          </w:tcPr>
          <w:p>
            <w:r>
              <w:rPr>
                <w:rFonts w:ascii="Calibri" w:hAnsi="Calibri"/>
                <w:sz w:val="22"/>
              </w:rPr>
              <w:t>PG&amp;E (PCG)</w:t>
            </w:r>
          </w:p>
        </w:tc>
        <w:tc>
          <w:tcPr>
            <w:tcW w:type="dxa" w:w="2160"/>
          </w:tcPr>
          <w:p>
            <w:r>
              <w:rPr>
                <w:rFonts w:ascii="Calibri" w:hAnsi="Calibri"/>
                <w:sz w:val="22"/>
              </w:rPr>
              <w:t>Jul 23, 2026</w:t>
            </w:r>
          </w:p>
        </w:tc>
        <w:tc>
          <w:tcPr>
            <w:tcW w:type="dxa" w:w="2160"/>
          </w:tcPr>
          <w:p>
            <w:r>
              <w:rPr>
                <w:rFonts w:ascii="Calibri" w:hAnsi="Calibri"/>
                <w:sz w:val="22"/>
              </w:rPr>
              <w:t>12 GW data center pipeline; quality filtering with financial commitments; FERC 206 response pending</w:t>
            </w:r>
          </w:p>
        </w:tc>
        <w:tc>
          <w:tcPr>
            <w:tcW w:type="dxa" w:w="2160"/>
          </w:tcPr>
          <w:p>
            <w:r>
              <w:rPr>
                <w:rFonts w:ascii="Calibri" w:hAnsi="Calibri"/>
                <w:sz w:val="22"/>
              </w:rPr>
              <w:t>Neutral</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disclosed in the period since Q1 2026 earnings — a discretionary open-market sale by the EVP/COO of APS shortly after the Q1 print. The sale is modest in size relative to remaining holdings and is not part of a 10b5-1 plan, but the timing (9 days post-earnings) warrants noting. No insider buying was observed.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Remaining Holdings</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Jacob Tetlow</w:t>
            </w:r>
          </w:p>
        </w:tc>
        <w:tc>
          <w:tcPr>
            <w:tcW w:type="dxa" w:w="1234"/>
          </w:tcPr>
          <w:p>
            <w:r>
              <w:rPr>
                <w:rFonts w:ascii="Calibri" w:hAnsi="Calibri"/>
                <w:sz w:val="22"/>
              </w:rPr>
              <w:t>EVP, COO, APS</w:t>
            </w:r>
          </w:p>
        </w:tc>
        <w:tc>
          <w:tcPr>
            <w:tcW w:type="dxa" w:w="1234"/>
          </w:tcPr>
          <w:p>
            <w:r>
              <w:rPr>
                <w:rFonts w:ascii="Calibri" w:hAnsi="Calibri"/>
                <w:sz w:val="22"/>
              </w:rPr>
              <w:t>Open Market Sale</w:t>
            </w:r>
          </w:p>
        </w:tc>
        <w:tc>
          <w:tcPr>
            <w:tcW w:type="dxa" w:w="1234"/>
          </w:tcPr>
          <w:p>
            <w:r>
              <w:rPr>
                <w:rFonts w:ascii="Calibri" w:hAnsi="Calibri"/>
                <w:sz w:val="22"/>
              </w:rPr>
              <w:t>6,567 shares</w:t>
            </w:r>
          </w:p>
        </w:tc>
        <w:tc>
          <w:tcPr>
            <w:tcW w:type="dxa" w:w="1234"/>
          </w:tcPr>
          <w:p>
            <w:r>
              <w:rPr>
                <w:rFonts w:ascii="Calibri" w:hAnsi="Calibri"/>
                <w:sz w:val="22"/>
              </w:rPr>
              <w:t>May 13, 2026</w:t>
            </w:r>
          </w:p>
        </w:tc>
        <w:tc>
          <w:tcPr>
            <w:tcW w:type="dxa" w:w="1234"/>
          </w:tcPr>
          <w:p>
            <w:r>
              <w:rPr>
                <w:rFonts w:ascii="Calibri" w:hAnsi="Calibri"/>
                <w:sz w:val="22"/>
              </w:rPr>
              <w:t>6,634 shares</w:t>
            </w:r>
          </w:p>
        </w:tc>
        <w:tc>
          <w:tcPr>
            <w:tcW w:type="dxa" w:w="1234"/>
          </w:tcPr>
          <w:p>
            <w:r>
              <w:rPr>
                <w:rFonts w:ascii="Calibri" w:hAnsi="Calibri"/>
                <w:sz w:val="22"/>
              </w:rPr>
              <w:t>Discretionary sale (not 10b5-1); sold ~50% of direct holdings 9 days post-Q1 earnings; modest in dollar terms but notable timing</w:t>
            </w:r>
          </w:p>
        </w:tc>
      </w:tr>
    </w:tbl>
    <w:p>
      <w:r>
        <w:rPr>
          <w:rFonts w:ascii="Calibri" w:hAnsi="Calibri"/>
          <w:i/>
          <w:color w:val="525866"/>
          <w:sz w:val="22"/>
        </w:rPr>
        <w:t>Source: Insider Transaction Data (SEC Form 4 Filings). Window: May 4, 2026 – August 3, 2026.</w:t>
      </w:r>
    </w:p>
    <w:p>
      <w:r>
        <w:rPr>
          <w:rFonts w:ascii="Calibri" w:hAnsi="Calibri"/>
          <w:color w:val="525866"/>
          <w:sz w:val="22"/>
        </w:rPr>
        <w:t>The single transaction is a discretionary open-market sale by Jacob Tetlow (EVP, COO of APS) of 6,567 shares on May 13, 2026 — nine trading days after the Q1 earnings beat. The sale reduced his direct holdings by approximately 50% (from ~13,201 to 6,634 shares). While the dollar value is modest (approximately $650–$670K at prevailing prices), the timing shortly after a strong earnings print and the magnitude relative to remaining holdings is worth flagging. No 10b5-1 plan was indicated. No other insider transactions (buys or sells) were filed in the period. The absence of buying from senior leadership following a significant earnings beat and a stock that has underperformed the S&amp;P 500 is not a strong positive signal, though the overall insider activity level is too thin to draw firm conclusions.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